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1680" w:type="dxa"/>
        <w:tblLayout w:type="fixed"/>
        <w:tblCellMar>
          <w:left w:w="30" w:type="dxa"/>
          <w:right w:w="0" w:type="dxa"/>
        </w:tblCellMar>
        <w:tblLook w:val="04A0" w:firstRow="1" w:lastRow="0" w:firstColumn="1" w:lastColumn="0" w:noHBand="0" w:noVBand="1"/>
      </w:tblPr>
      <w:tblGrid>
        <w:gridCol w:w="125"/>
        <w:gridCol w:w="721"/>
        <w:gridCol w:w="1409"/>
        <w:gridCol w:w="3239"/>
        <w:gridCol w:w="3680"/>
        <w:gridCol w:w="7467"/>
        <w:gridCol w:w="35"/>
        <w:gridCol w:w="7432"/>
        <w:gridCol w:w="70"/>
        <w:gridCol w:w="7397"/>
        <w:gridCol w:w="105"/>
      </w:tblGrid>
      <w:tr w:rsidR="005D0706" w:rsidRPr="005D0706" w14:paraId="5E1D434B" w14:textId="77777777" w:rsidTr="004D3278">
        <w:trPr>
          <w:gridAfter w:val="6"/>
          <w:wAfter w:w="22506" w:type="dxa"/>
          <w:trHeight w:val="765"/>
        </w:trPr>
        <w:tc>
          <w:tcPr>
            <w:tcW w:w="125" w:type="dxa"/>
            <w:tcMar>
              <w:top w:w="0" w:type="dxa"/>
              <w:left w:w="105" w:type="dxa"/>
              <w:bottom w:w="0" w:type="dxa"/>
              <w:right w:w="0" w:type="dxa"/>
            </w:tcMar>
            <w:vAlign w:val="center"/>
            <w:hideMark/>
          </w:tcPr>
          <w:p w14:paraId="2E1F2442" w14:textId="77777777" w:rsidR="005D0706" w:rsidRPr="005D0706" w:rsidRDefault="005D0706" w:rsidP="005D0706">
            <w:pPr>
              <w:spacing w:after="0" w:line="240" w:lineRule="auto"/>
              <w:rPr>
                <w:rFonts w:ascii="Times New Roman" w:eastAsia="Times New Roman" w:hAnsi="Times New Roman" w:cs="Times New Roman"/>
                <w:sz w:val="24"/>
                <w:szCs w:val="24"/>
                <w:lang w:eastAsia="ru-RU"/>
              </w:rPr>
            </w:pPr>
          </w:p>
        </w:tc>
        <w:tc>
          <w:tcPr>
            <w:tcW w:w="9049" w:type="dxa"/>
            <w:gridSpan w:val="4"/>
            <w:tcMar>
              <w:top w:w="0" w:type="dxa"/>
              <w:left w:w="105" w:type="dxa"/>
              <w:bottom w:w="0" w:type="dxa"/>
              <w:right w:w="0" w:type="dxa"/>
            </w:tcMar>
            <w:vAlign w:val="center"/>
            <w:hideMark/>
          </w:tcPr>
          <w:p w14:paraId="7BBEB471" w14:textId="77777777" w:rsidR="005D0706" w:rsidRPr="005D0706" w:rsidRDefault="005D0706" w:rsidP="005D0706">
            <w:pPr>
              <w:spacing w:after="0" w:line="240" w:lineRule="auto"/>
              <w:rPr>
                <w:rFonts w:ascii="Arial" w:eastAsia="Times New Roman" w:hAnsi="Arial" w:cs="Arial"/>
                <w:b/>
                <w:bCs/>
                <w:sz w:val="24"/>
                <w:szCs w:val="24"/>
                <w:lang w:eastAsia="ru-RU"/>
              </w:rPr>
            </w:pPr>
            <w:r w:rsidRPr="005D0706">
              <w:rPr>
                <w:rFonts w:ascii="Arial" w:eastAsia="Times New Roman" w:hAnsi="Arial" w:cs="Arial"/>
                <w:b/>
                <w:bCs/>
                <w:sz w:val="24"/>
                <w:szCs w:val="24"/>
                <w:lang w:eastAsia="ru-RU"/>
              </w:rPr>
              <w:t>Примечание 4. Краткое изложение принципов учетной политики, важные оценки и профессиональные суждения в применении учетной политики</w:t>
            </w:r>
          </w:p>
        </w:tc>
      </w:tr>
      <w:tr w:rsidR="005D0706" w:rsidRPr="005D0706" w14:paraId="691516CD" w14:textId="77777777" w:rsidTr="004D3278">
        <w:trPr>
          <w:gridAfter w:val="6"/>
          <w:wAfter w:w="22506" w:type="dxa"/>
          <w:trHeight w:val="300"/>
        </w:trPr>
        <w:tc>
          <w:tcPr>
            <w:tcW w:w="125" w:type="dxa"/>
            <w:tcMar>
              <w:top w:w="0" w:type="dxa"/>
              <w:left w:w="105" w:type="dxa"/>
              <w:bottom w:w="0" w:type="dxa"/>
              <w:right w:w="0" w:type="dxa"/>
            </w:tcMar>
            <w:vAlign w:val="center"/>
            <w:hideMark/>
          </w:tcPr>
          <w:p w14:paraId="23AB71FC" w14:textId="77777777" w:rsidR="005D0706" w:rsidRPr="005D0706" w:rsidRDefault="005D0706" w:rsidP="005D0706">
            <w:pPr>
              <w:spacing w:after="0" w:line="240" w:lineRule="auto"/>
              <w:rPr>
                <w:rFonts w:ascii="Arial" w:eastAsia="Times New Roman" w:hAnsi="Arial" w:cs="Arial"/>
                <w:b/>
                <w:bCs/>
                <w:sz w:val="24"/>
                <w:szCs w:val="24"/>
                <w:lang w:eastAsia="ru-RU"/>
              </w:rPr>
            </w:pPr>
          </w:p>
        </w:tc>
        <w:tc>
          <w:tcPr>
            <w:tcW w:w="721" w:type="dxa"/>
            <w:tcMar>
              <w:top w:w="0" w:type="dxa"/>
              <w:left w:w="105" w:type="dxa"/>
              <w:bottom w:w="0" w:type="dxa"/>
              <w:right w:w="0" w:type="dxa"/>
            </w:tcMar>
            <w:vAlign w:val="center"/>
            <w:hideMark/>
          </w:tcPr>
          <w:p w14:paraId="03408CF1"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1409" w:type="dxa"/>
            <w:tcMar>
              <w:top w:w="0" w:type="dxa"/>
              <w:left w:w="105" w:type="dxa"/>
              <w:bottom w:w="0" w:type="dxa"/>
              <w:right w:w="0" w:type="dxa"/>
            </w:tcMar>
            <w:vAlign w:val="center"/>
            <w:hideMark/>
          </w:tcPr>
          <w:p w14:paraId="5E6BBC76"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3239" w:type="dxa"/>
            <w:tcMar>
              <w:top w:w="0" w:type="dxa"/>
              <w:left w:w="105" w:type="dxa"/>
              <w:bottom w:w="0" w:type="dxa"/>
              <w:right w:w="0" w:type="dxa"/>
            </w:tcMar>
            <w:vAlign w:val="center"/>
            <w:hideMark/>
          </w:tcPr>
          <w:p w14:paraId="6629DC93"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3680" w:type="dxa"/>
            <w:tcMar>
              <w:top w:w="0" w:type="dxa"/>
              <w:left w:w="105" w:type="dxa"/>
              <w:bottom w:w="0" w:type="dxa"/>
              <w:right w:w="0" w:type="dxa"/>
            </w:tcMar>
            <w:vAlign w:val="center"/>
            <w:hideMark/>
          </w:tcPr>
          <w:p w14:paraId="6EFFDED9"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r>
      <w:tr w:rsidR="005D0706" w:rsidRPr="005D0706" w14:paraId="456AEDEB" w14:textId="77777777" w:rsidTr="004D3278">
        <w:trPr>
          <w:gridAfter w:val="6"/>
          <w:wAfter w:w="22506" w:type="dxa"/>
          <w:trHeight w:val="375"/>
        </w:trPr>
        <w:tc>
          <w:tcPr>
            <w:tcW w:w="125" w:type="dxa"/>
            <w:tcMar>
              <w:top w:w="0" w:type="dxa"/>
              <w:left w:w="105" w:type="dxa"/>
              <w:bottom w:w="0" w:type="dxa"/>
              <w:right w:w="0" w:type="dxa"/>
            </w:tcMar>
            <w:vAlign w:val="center"/>
            <w:hideMark/>
          </w:tcPr>
          <w:p w14:paraId="6918ACEF"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9049" w:type="dxa"/>
            <w:gridSpan w:val="4"/>
            <w:tcMar>
              <w:top w:w="0" w:type="dxa"/>
              <w:left w:w="105" w:type="dxa"/>
              <w:bottom w:w="0" w:type="dxa"/>
              <w:right w:w="0" w:type="dxa"/>
            </w:tcMar>
            <w:vAlign w:val="center"/>
            <w:hideMark/>
          </w:tcPr>
          <w:p w14:paraId="72AF2D54" w14:textId="77777777" w:rsidR="005D0706" w:rsidRPr="005D0706" w:rsidRDefault="005D0706" w:rsidP="005D0706">
            <w:pPr>
              <w:spacing w:after="0" w:line="240" w:lineRule="auto"/>
              <w:jc w:val="center"/>
              <w:rPr>
                <w:rFonts w:ascii="Arial" w:eastAsia="Times New Roman" w:hAnsi="Arial" w:cs="Arial"/>
                <w:b/>
                <w:bCs/>
                <w:lang w:eastAsia="ru-RU"/>
              </w:rPr>
            </w:pPr>
            <w:r w:rsidRPr="005D0706">
              <w:rPr>
                <w:rFonts w:ascii="Arial" w:eastAsia="Times New Roman" w:hAnsi="Arial" w:cs="Arial"/>
                <w:b/>
                <w:bCs/>
                <w:lang w:eastAsia="ru-RU"/>
              </w:rPr>
              <w:t>Краткое изложение принципов учетной политики, важные оценки и профессиональные суждения в применении учетной политики</w:t>
            </w:r>
          </w:p>
        </w:tc>
      </w:tr>
      <w:tr w:rsidR="005D0706" w:rsidRPr="005D0706" w14:paraId="3F16306A" w14:textId="77777777" w:rsidTr="004D3278">
        <w:trPr>
          <w:gridAfter w:val="6"/>
          <w:wAfter w:w="22506" w:type="dxa"/>
          <w:trHeight w:val="330"/>
        </w:trPr>
        <w:tc>
          <w:tcPr>
            <w:tcW w:w="125" w:type="dxa"/>
            <w:tcMar>
              <w:top w:w="0" w:type="dxa"/>
              <w:left w:w="105" w:type="dxa"/>
              <w:bottom w:w="0" w:type="dxa"/>
              <w:right w:w="0" w:type="dxa"/>
            </w:tcMar>
            <w:vAlign w:val="center"/>
            <w:hideMark/>
          </w:tcPr>
          <w:p w14:paraId="32363AB2" w14:textId="77777777" w:rsidR="005D0706" w:rsidRPr="005D0706" w:rsidRDefault="005D0706" w:rsidP="005D0706">
            <w:pPr>
              <w:spacing w:after="0" w:line="240" w:lineRule="auto"/>
              <w:jc w:val="center"/>
              <w:rPr>
                <w:rFonts w:ascii="Arial" w:eastAsia="Times New Roman" w:hAnsi="Arial" w:cs="Arial"/>
                <w:b/>
                <w:bCs/>
                <w:lang w:eastAsia="ru-RU"/>
              </w:rPr>
            </w:pPr>
          </w:p>
        </w:tc>
        <w:tc>
          <w:tcPr>
            <w:tcW w:w="721" w:type="dxa"/>
            <w:tcMar>
              <w:top w:w="0" w:type="dxa"/>
              <w:left w:w="105" w:type="dxa"/>
              <w:bottom w:w="0" w:type="dxa"/>
              <w:right w:w="0" w:type="dxa"/>
            </w:tcMar>
            <w:vAlign w:val="center"/>
            <w:hideMark/>
          </w:tcPr>
          <w:p w14:paraId="65768ED6"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1409" w:type="dxa"/>
            <w:tcMar>
              <w:top w:w="0" w:type="dxa"/>
              <w:left w:w="105" w:type="dxa"/>
              <w:bottom w:w="0" w:type="dxa"/>
              <w:right w:w="0" w:type="dxa"/>
            </w:tcMar>
            <w:vAlign w:val="center"/>
            <w:hideMark/>
          </w:tcPr>
          <w:p w14:paraId="10528F39"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3239" w:type="dxa"/>
            <w:tcMar>
              <w:top w:w="0" w:type="dxa"/>
              <w:left w:w="105" w:type="dxa"/>
              <w:bottom w:w="0" w:type="dxa"/>
              <w:right w:w="0" w:type="dxa"/>
            </w:tcMar>
            <w:vAlign w:val="center"/>
            <w:hideMark/>
          </w:tcPr>
          <w:p w14:paraId="4A4D2B43"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3680" w:type="dxa"/>
            <w:tcMar>
              <w:top w:w="0" w:type="dxa"/>
              <w:left w:w="105" w:type="dxa"/>
              <w:bottom w:w="0" w:type="dxa"/>
              <w:right w:w="0" w:type="dxa"/>
            </w:tcMar>
            <w:vAlign w:val="center"/>
            <w:hideMark/>
          </w:tcPr>
          <w:p w14:paraId="0D8193F7"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r>
      <w:tr w:rsidR="005D0706" w:rsidRPr="005D0706" w14:paraId="2B56B9B6" w14:textId="77777777" w:rsidTr="004D3278">
        <w:trPr>
          <w:gridAfter w:val="6"/>
          <w:wAfter w:w="22506" w:type="dxa"/>
          <w:trHeight w:val="330"/>
        </w:trPr>
        <w:tc>
          <w:tcPr>
            <w:tcW w:w="125" w:type="dxa"/>
            <w:tcMar>
              <w:top w:w="0" w:type="dxa"/>
              <w:left w:w="105" w:type="dxa"/>
              <w:bottom w:w="0" w:type="dxa"/>
              <w:right w:w="0" w:type="dxa"/>
            </w:tcMar>
            <w:vAlign w:val="center"/>
            <w:hideMark/>
          </w:tcPr>
          <w:p w14:paraId="514C2980" w14:textId="77777777" w:rsidR="005D0706" w:rsidRPr="005D0706" w:rsidRDefault="005D0706" w:rsidP="005D0706">
            <w:pPr>
              <w:spacing w:after="0" w:line="240" w:lineRule="auto"/>
              <w:jc w:val="right"/>
              <w:rPr>
                <w:rFonts w:ascii="Times New Roman" w:eastAsia="Times New Roman" w:hAnsi="Times New Roman" w:cs="Times New Roman"/>
                <w:sz w:val="20"/>
                <w:szCs w:val="20"/>
                <w:lang w:eastAsia="ru-RU"/>
              </w:rPr>
            </w:pPr>
          </w:p>
        </w:tc>
        <w:tc>
          <w:tcPr>
            <w:tcW w:w="5369" w:type="dxa"/>
            <w:gridSpan w:val="3"/>
            <w:tcMar>
              <w:top w:w="0" w:type="dxa"/>
              <w:left w:w="105" w:type="dxa"/>
              <w:bottom w:w="0" w:type="dxa"/>
              <w:right w:w="0" w:type="dxa"/>
            </w:tcMar>
            <w:vAlign w:val="center"/>
            <w:hideMark/>
          </w:tcPr>
          <w:p w14:paraId="71E0E8EA" w14:textId="77777777" w:rsidR="005D0706" w:rsidRPr="005D0706" w:rsidRDefault="005D0706" w:rsidP="005D0706">
            <w:pPr>
              <w:spacing w:after="0" w:line="240" w:lineRule="auto"/>
              <w:rPr>
                <w:rFonts w:ascii="Times New Roman" w:eastAsia="Times New Roman" w:hAnsi="Times New Roman" w:cs="Times New Roman"/>
                <w:sz w:val="20"/>
                <w:szCs w:val="20"/>
                <w:lang w:eastAsia="ru-RU"/>
              </w:rPr>
            </w:pPr>
          </w:p>
        </w:tc>
        <w:tc>
          <w:tcPr>
            <w:tcW w:w="3680" w:type="dxa"/>
            <w:tcMar>
              <w:top w:w="0" w:type="dxa"/>
              <w:left w:w="105" w:type="dxa"/>
              <w:bottom w:w="0" w:type="dxa"/>
              <w:right w:w="0" w:type="dxa"/>
            </w:tcMar>
            <w:vAlign w:val="center"/>
            <w:hideMark/>
          </w:tcPr>
          <w:p w14:paraId="5C545BE8" w14:textId="77777777" w:rsidR="005D0706" w:rsidRPr="005D0706" w:rsidRDefault="005D0706" w:rsidP="005D0706">
            <w:pPr>
              <w:spacing w:after="0" w:line="240" w:lineRule="auto"/>
              <w:jc w:val="right"/>
              <w:rPr>
                <w:rFonts w:ascii="Arial" w:eastAsia="Times New Roman" w:hAnsi="Arial" w:cs="Arial"/>
                <w:b/>
                <w:bCs/>
                <w:sz w:val="20"/>
                <w:szCs w:val="20"/>
                <w:lang w:eastAsia="ru-RU"/>
              </w:rPr>
            </w:pPr>
            <w:r w:rsidRPr="005D0706">
              <w:rPr>
                <w:rFonts w:ascii="Arial" w:eastAsia="Times New Roman" w:hAnsi="Arial" w:cs="Arial"/>
                <w:b/>
                <w:bCs/>
                <w:sz w:val="20"/>
                <w:szCs w:val="20"/>
                <w:lang w:eastAsia="ru-RU"/>
              </w:rPr>
              <w:t>Таблица 4.1</w:t>
            </w:r>
          </w:p>
        </w:tc>
      </w:tr>
      <w:tr w:rsidR="005D0706" w:rsidRPr="005D0706" w14:paraId="3EAC3A39" w14:textId="77777777" w:rsidTr="004D3278">
        <w:trPr>
          <w:gridAfter w:val="6"/>
          <w:wAfter w:w="22506" w:type="dxa"/>
          <w:trHeight w:val="570"/>
        </w:trPr>
        <w:tc>
          <w:tcPr>
            <w:tcW w:w="125" w:type="dxa"/>
            <w:tcMar>
              <w:top w:w="0" w:type="dxa"/>
              <w:left w:w="105" w:type="dxa"/>
              <w:bottom w:w="0" w:type="dxa"/>
              <w:right w:w="0" w:type="dxa"/>
            </w:tcMar>
            <w:vAlign w:val="center"/>
            <w:hideMark/>
          </w:tcPr>
          <w:p w14:paraId="391F3A35" w14:textId="77777777" w:rsidR="005D0706" w:rsidRPr="005D0706" w:rsidRDefault="005D0706" w:rsidP="005D0706">
            <w:pPr>
              <w:spacing w:after="0" w:line="240" w:lineRule="auto"/>
              <w:jc w:val="right"/>
              <w:rPr>
                <w:rFonts w:ascii="Arial" w:eastAsia="Times New Roman" w:hAnsi="Arial" w:cs="Arial"/>
                <w:b/>
                <w:bCs/>
                <w:sz w:val="20"/>
                <w:szCs w:val="20"/>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E08DAD7"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Номер строки</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4C07745"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Стандарт МСФО</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6AC73FF"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Требования к раскрытию информации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0EAE6FD"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Описание</w:t>
            </w:r>
          </w:p>
        </w:tc>
      </w:tr>
      <w:tr w:rsidR="005D0706" w:rsidRPr="005D0706" w14:paraId="51ABA3B3" w14:textId="77777777" w:rsidTr="004D3278">
        <w:trPr>
          <w:gridAfter w:val="6"/>
          <w:wAfter w:w="22506" w:type="dxa"/>
          <w:trHeight w:val="300"/>
        </w:trPr>
        <w:tc>
          <w:tcPr>
            <w:tcW w:w="125" w:type="dxa"/>
            <w:tcMar>
              <w:top w:w="0" w:type="dxa"/>
              <w:left w:w="105" w:type="dxa"/>
              <w:bottom w:w="0" w:type="dxa"/>
              <w:right w:w="0" w:type="dxa"/>
            </w:tcMar>
            <w:vAlign w:val="center"/>
            <w:hideMark/>
          </w:tcPr>
          <w:p w14:paraId="70426D07"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F5D9AF5"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50E74C3"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2</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6A20275"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3</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044FD05"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4</w:t>
            </w:r>
          </w:p>
        </w:tc>
      </w:tr>
      <w:tr w:rsidR="005D0706" w:rsidRPr="005D0706" w14:paraId="2B88324E" w14:textId="77777777" w:rsidTr="004D3278">
        <w:trPr>
          <w:gridAfter w:val="6"/>
          <w:wAfter w:w="22506" w:type="dxa"/>
          <w:trHeight w:val="300"/>
        </w:trPr>
        <w:tc>
          <w:tcPr>
            <w:tcW w:w="125" w:type="dxa"/>
            <w:tcMar>
              <w:top w:w="0" w:type="dxa"/>
              <w:left w:w="105" w:type="dxa"/>
              <w:bottom w:w="0" w:type="dxa"/>
              <w:right w:w="0" w:type="dxa"/>
            </w:tcMar>
            <w:vAlign w:val="center"/>
            <w:hideMark/>
          </w:tcPr>
          <w:p w14:paraId="40B3DFAC"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F989490" w14:textId="77777777" w:rsidR="005D0706" w:rsidRPr="005D0706" w:rsidRDefault="005D0706"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I. Влияние оценок и допущений</w:t>
            </w:r>
          </w:p>
        </w:tc>
      </w:tr>
      <w:tr w:rsidR="00BF0614" w:rsidRPr="005D0706" w14:paraId="2D4C1E5D" w14:textId="77777777" w:rsidTr="004D3278">
        <w:trPr>
          <w:gridAfter w:val="6"/>
          <w:wAfter w:w="22506" w:type="dxa"/>
          <w:trHeight w:val="2430"/>
        </w:trPr>
        <w:tc>
          <w:tcPr>
            <w:tcW w:w="125" w:type="dxa"/>
            <w:tcMar>
              <w:top w:w="0" w:type="dxa"/>
              <w:left w:w="105" w:type="dxa"/>
              <w:bottom w:w="0" w:type="dxa"/>
              <w:right w:w="0" w:type="dxa"/>
            </w:tcMar>
            <w:vAlign w:val="center"/>
            <w:hideMark/>
          </w:tcPr>
          <w:p w14:paraId="22FE9395"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B708C47"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7C24EC4"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454A048"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Суждения (помимо тех, которые связаны с оценкой), которые были выработаны руководством в процессе применения учетной политики и которые оказывают наибольшее влияние на суммы, отраженные в бухгалтерской (финансовой) отчетности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D958CEC" w14:textId="671B98E6"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Подготовка данной бухгалтерской (финансовой) отчетности по ОСБУ требует применения оценок и допущений, которые оказывают влияние на отражаемые суммы активов и обязательств, раскрытие условных активов и обязательств на дату составления бухгалтерской (финансовой) отчетности, а также суммы доходов и расходов в течение отчетного периода.  Подготовка данной бухгалтерской (финансовой) отчетности по ОСБУ также требует использования суждения руководства в процессе применения учетной политики Общества, Оценки и лежащие в их основе допущения пересматриваются на регулярной основе. Корректировки в оценках признаются перспективно в том отчетном периоде, в котором были пересмотрены соответствующие оценки, и в любых последующих периодах, которые они затрагивают.</w:t>
            </w:r>
          </w:p>
        </w:tc>
      </w:tr>
      <w:tr w:rsidR="00BF0614" w:rsidRPr="005D0706" w14:paraId="733377FD" w14:textId="77777777" w:rsidTr="004D3278">
        <w:trPr>
          <w:gridAfter w:val="6"/>
          <w:wAfter w:w="22506" w:type="dxa"/>
          <w:trHeight w:val="2430"/>
        </w:trPr>
        <w:tc>
          <w:tcPr>
            <w:tcW w:w="125" w:type="dxa"/>
            <w:tcMar>
              <w:top w:w="0" w:type="dxa"/>
              <w:left w:w="105" w:type="dxa"/>
              <w:bottom w:w="0" w:type="dxa"/>
              <w:right w:w="0" w:type="dxa"/>
            </w:tcMar>
            <w:vAlign w:val="center"/>
            <w:hideMark/>
          </w:tcPr>
          <w:p w14:paraId="5C35AD73"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24C028D"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90A92AC"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5A993D8"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Влияние оценок и допущений на признанные активы и обязательства (указываются статьи отчетности, на суммы которых профессиональные оценки и допущения оказывают наиболее существенное воздействие, и приводятся комментарии в отношении того, каким образом влияют профессиональные суждения на оценку этих статей)</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0599AAA0" w14:textId="28C598E8"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Существенных неопределенных оценок и критических мотивированных суждений при применении положений учетной политики Обществом не принималось.</w:t>
            </w:r>
          </w:p>
        </w:tc>
      </w:tr>
      <w:tr w:rsidR="00BF0614" w:rsidRPr="005D0706" w14:paraId="4FDDCE52" w14:textId="77777777" w:rsidTr="004D3278">
        <w:trPr>
          <w:gridAfter w:val="6"/>
          <w:wAfter w:w="22506" w:type="dxa"/>
          <w:trHeight w:val="1710"/>
        </w:trPr>
        <w:tc>
          <w:tcPr>
            <w:tcW w:w="125" w:type="dxa"/>
            <w:tcMar>
              <w:top w:w="0" w:type="dxa"/>
              <w:left w:w="105" w:type="dxa"/>
              <w:bottom w:w="0" w:type="dxa"/>
              <w:right w:w="0" w:type="dxa"/>
            </w:tcMar>
            <w:vAlign w:val="center"/>
            <w:hideMark/>
          </w:tcPr>
          <w:p w14:paraId="188F2A23"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75032B1"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AB5900F"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(IFRS) 13, МСФО (IFRS) 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2646E88"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Ключевые подходы к оценке финансовых инструментов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1F14480" w14:textId="3F87BE98"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Руководствуясь утвержденной бизнес </w:t>
            </w:r>
            <w:proofErr w:type="gramStart"/>
            <w:r w:rsidRPr="00BF0614">
              <w:rPr>
                <w:rFonts w:ascii="Arial" w:hAnsi="Arial" w:cs="Arial"/>
                <w:sz w:val="16"/>
                <w:szCs w:val="16"/>
              </w:rPr>
              <w:t>-м</w:t>
            </w:r>
            <w:proofErr w:type="gramEnd"/>
            <w:r w:rsidRPr="00BF0614">
              <w:rPr>
                <w:rFonts w:ascii="Arial" w:hAnsi="Arial" w:cs="Arial"/>
                <w:sz w:val="16"/>
                <w:szCs w:val="16"/>
              </w:rPr>
              <w:t>оделью,</w:t>
            </w:r>
            <w:r w:rsidRPr="00BF0614">
              <w:rPr>
                <w:rFonts w:ascii="Arial" w:hAnsi="Arial" w:cs="Arial"/>
                <w:sz w:val="16"/>
                <w:szCs w:val="16"/>
              </w:rPr>
              <w:br/>
              <w:t>Общество оценивает свои финансовые</w:t>
            </w:r>
            <w:r w:rsidRPr="00BF0614">
              <w:rPr>
                <w:rFonts w:ascii="Arial" w:hAnsi="Arial" w:cs="Arial"/>
                <w:sz w:val="16"/>
                <w:szCs w:val="16"/>
              </w:rPr>
              <w:br/>
              <w:t>инструменты, руководствуясь положениями МСФО</w:t>
            </w:r>
            <w:r w:rsidRPr="00BF0614">
              <w:rPr>
                <w:rFonts w:ascii="Arial" w:hAnsi="Arial" w:cs="Arial"/>
                <w:sz w:val="16"/>
                <w:szCs w:val="16"/>
              </w:rPr>
              <w:br/>
              <w:t>(IFRS) 9.</w:t>
            </w:r>
            <w:r w:rsidRPr="00BF0614">
              <w:rPr>
                <w:rFonts w:ascii="Arial" w:hAnsi="Arial" w:cs="Arial"/>
                <w:sz w:val="16"/>
                <w:szCs w:val="16"/>
              </w:rPr>
              <w:br/>
              <w:t>Общество относит депозиты, размещенные в кредитных организациях и займы, выданные юридическим или физическим лицам к категории</w:t>
            </w:r>
            <w:r w:rsidRPr="00BF0614">
              <w:rPr>
                <w:rFonts w:ascii="Arial" w:hAnsi="Arial" w:cs="Arial"/>
                <w:sz w:val="16"/>
                <w:szCs w:val="16"/>
              </w:rPr>
              <w:br/>
              <w:t xml:space="preserve">финансовых активов, отражаемых по амортизированной стоимости. При первоначальном признании Общество оценивает финансовые инструменты по справедливой стоимости в соответствии с требованиями МСФО (IFRS) 13. Лучшим свидетельством справедливой стоимости финансового инструмента при первоначальном признании обычно является цена сделки, то есть справедливая стоимость выплаченного или полученного возмещения.  Финансовые активы, которые в момент первоначального признания, отнесены в категорию </w:t>
            </w:r>
            <w:proofErr w:type="gramStart"/>
            <w:r w:rsidRPr="00BF0614">
              <w:rPr>
                <w:rFonts w:ascii="Arial" w:hAnsi="Arial" w:cs="Arial"/>
                <w:sz w:val="16"/>
                <w:szCs w:val="16"/>
              </w:rPr>
              <w:t>оцениваемых</w:t>
            </w:r>
            <w:proofErr w:type="gramEnd"/>
            <w:r w:rsidRPr="00BF0614">
              <w:rPr>
                <w:rFonts w:ascii="Arial" w:hAnsi="Arial" w:cs="Arial"/>
                <w:sz w:val="16"/>
                <w:szCs w:val="16"/>
              </w:rPr>
              <w:t xml:space="preserve"> по амортизированной</w:t>
            </w:r>
            <w:r w:rsidRPr="00BF0614">
              <w:rPr>
                <w:rFonts w:ascii="Arial" w:hAnsi="Arial" w:cs="Arial"/>
                <w:sz w:val="16"/>
                <w:szCs w:val="16"/>
              </w:rPr>
              <w:br/>
              <w:t xml:space="preserve">стоимости, не </w:t>
            </w:r>
            <w:proofErr w:type="spellStart"/>
            <w:r w:rsidRPr="00BF0614">
              <w:rPr>
                <w:rFonts w:ascii="Arial" w:hAnsi="Arial" w:cs="Arial"/>
                <w:sz w:val="16"/>
                <w:szCs w:val="16"/>
              </w:rPr>
              <w:t>реклассифицируются</w:t>
            </w:r>
            <w:proofErr w:type="spellEnd"/>
            <w:r w:rsidRPr="00BF0614">
              <w:rPr>
                <w:rFonts w:ascii="Arial" w:hAnsi="Arial" w:cs="Arial"/>
                <w:sz w:val="16"/>
                <w:szCs w:val="16"/>
              </w:rPr>
              <w:t xml:space="preserve"> из данной категории.</w:t>
            </w:r>
          </w:p>
        </w:tc>
      </w:tr>
      <w:tr w:rsidR="00BF0614" w:rsidRPr="005D0706" w14:paraId="7A8E84B7" w14:textId="77777777" w:rsidTr="004D3278">
        <w:trPr>
          <w:gridAfter w:val="6"/>
          <w:wAfter w:w="22506" w:type="dxa"/>
          <w:trHeight w:val="1710"/>
        </w:trPr>
        <w:tc>
          <w:tcPr>
            <w:tcW w:w="125" w:type="dxa"/>
            <w:tcMar>
              <w:top w:w="0" w:type="dxa"/>
              <w:left w:w="105" w:type="dxa"/>
              <w:bottom w:w="0" w:type="dxa"/>
              <w:right w:w="0" w:type="dxa"/>
            </w:tcMar>
            <w:vAlign w:val="center"/>
            <w:hideMark/>
          </w:tcPr>
          <w:p w14:paraId="0B410851"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8E8CDD0"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62C7BDA"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21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3984B7D"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Переоценка активов и обязательств, выраженных в иностранной валюте</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2494C677" w14:textId="55A79D8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В Обществе </w:t>
            </w:r>
            <w:proofErr w:type="spellStart"/>
            <w:r w:rsidRPr="00BF0614">
              <w:rPr>
                <w:rFonts w:ascii="Arial" w:hAnsi="Arial" w:cs="Arial"/>
                <w:sz w:val="16"/>
                <w:szCs w:val="16"/>
              </w:rPr>
              <w:t>отсутвуют</w:t>
            </w:r>
            <w:proofErr w:type="spellEnd"/>
            <w:r w:rsidRPr="00BF0614">
              <w:rPr>
                <w:rFonts w:ascii="Arial" w:hAnsi="Arial" w:cs="Arial"/>
                <w:sz w:val="16"/>
                <w:szCs w:val="16"/>
              </w:rPr>
              <w:t xml:space="preserve"> активы и </w:t>
            </w:r>
            <w:proofErr w:type="gramStart"/>
            <w:r w:rsidRPr="00BF0614">
              <w:rPr>
                <w:rFonts w:ascii="Arial" w:hAnsi="Arial" w:cs="Arial"/>
                <w:sz w:val="16"/>
                <w:szCs w:val="16"/>
              </w:rPr>
              <w:t>обязательства</w:t>
            </w:r>
            <w:proofErr w:type="gramEnd"/>
            <w:r w:rsidRPr="00BF0614">
              <w:rPr>
                <w:rFonts w:ascii="Arial" w:hAnsi="Arial" w:cs="Arial"/>
                <w:sz w:val="16"/>
                <w:szCs w:val="16"/>
              </w:rPr>
              <w:t xml:space="preserve"> выраженные в иностранной валюте.</w:t>
            </w:r>
          </w:p>
        </w:tc>
      </w:tr>
      <w:tr w:rsidR="00BF0614" w:rsidRPr="005D0706" w14:paraId="3B01E453" w14:textId="77777777" w:rsidTr="004D3278">
        <w:trPr>
          <w:gridAfter w:val="6"/>
          <w:wAfter w:w="22506" w:type="dxa"/>
          <w:trHeight w:val="1710"/>
        </w:trPr>
        <w:tc>
          <w:tcPr>
            <w:tcW w:w="125" w:type="dxa"/>
            <w:tcMar>
              <w:top w:w="0" w:type="dxa"/>
              <w:left w:w="105" w:type="dxa"/>
              <w:bottom w:w="0" w:type="dxa"/>
              <w:right w:w="0" w:type="dxa"/>
            </w:tcMar>
            <w:vAlign w:val="center"/>
            <w:hideMark/>
          </w:tcPr>
          <w:p w14:paraId="4886573E"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4CDBB9D"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5</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3A36AEC"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F49C75C"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Непрерывность деятельности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C71F646" w14:textId="1A53AC8C"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Данная бухгалтерская (финансовая) отчетность составлена на основе допущения руководства, что Общество сможет непрерывно продолжать свою деятельность в обозримом будущем</w:t>
            </w:r>
          </w:p>
        </w:tc>
      </w:tr>
      <w:tr w:rsidR="00BF0614" w:rsidRPr="005D0706" w14:paraId="326C6FE4" w14:textId="77777777" w:rsidTr="004D3278">
        <w:trPr>
          <w:gridAfter w:val="6"/>
          <w:wAfter w:w="22506" w:type="dxa"/>
          <w:trHeight w:val="2190"/>
        </w:trPr>
        <w:tc>
          <w:tcPr>
            <w:tcW w:w="125" w:type="dxa"/>
            <w:tcMar>
              <w:top w:w="0" w:type="dxa"/>
              <w:left w:w="105" w:type="dxa"/>
              <w:bottom w:w="0" w:type="dxa"/>
              <w:right w:w="0" w:type="dxa"/>
            </w:tcMar>
            <w:vAlign w:val="center"/>
            <w:hideMark/>
          </w:tcPr>
          <w:p w14:paraId="52A11899"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9397443"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6</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C2DD72C"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29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5A4B2F7"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Информация в отношении пересчета показателей предыдущих периодов с учетом изменений общей покупательной способности рубля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1A726A80" w14:textId="170F428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Показатели предыдущих периодов не пересчитывались в связи с тем, что на основании профессионального суждения Общества изменение покупательской способности рубля за анализируемый период было признано нематериальным и не оказывающим влияние на достоверность данных бухгалтерской (финансовой) отчетности.</w:t>
            </w:r>
          </w:p>
        </w:tc>
      </w:tr>
      <w:tr w:rsidR="00BF0614" w:rsidRPr="005D0706" w14:paraId="2BDA4FB9" w14:textId="77777777" w:rsidTr="004D3278">
        <w:trPr>
          <w:gridAfter w:val="6"/>
          <w:wAfter w:w="22506" w:type="dxa"/>
          <w:trHeight w:val="300"/>
        </w:trPr>
        <w:tc>
          <w:tcPr>
            <w:tcW w:w="125" w:type="dxa"/>
            <w:tcMar>
              <w:top w:w="0" w:type="dxa"/>
              <w:left w:w="105" w:type="dxa"/>
              <w:bottom w:w="0" w:type="dxa"/>
              <w:right w:w="0" w:type="dxa"/>
            </w:tcMar>
            <w:vAlign w:val="center"/>
            <w:hideMark/>
          </w:tcPr>
          <w:p w14:paraId="050D4AEF"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A0062C7"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II. Изменения в учетной политике</w:t>
            </w:r>
          </w:p>
        </w:tc>
      </w:tr>
      <w:tr w:rsidR="00BF0614" w:rsidRPr="005D0706" w14:paraId="6275E58A" w14:textId="77777777" w:rsidTr="004D3278">
        <w:trPr>
          <w:gridAfter w:val="6"/>
          <w:wAfter w:w="22506" w:type="dxa"/>
          <w:trHeight w:val="2430"/>
        </w:trPr>
        <w:tc>
          <w:tcPr>
            <w:tcW w:w="125" w:type="dxa"/>
            <w:tcMar>
              <w:top w:w="0" w:type="dxa"/>
              <w:left w:w="105" w:type="dxa"/>
              <w:bottom w:w="0" w:type="dxa"/>
              <w:right w:w="0" w:type="dxa"/>
            </w:tcMar>
            <w:vAlign w:val="center"/>
            <w:hideMark/>
          </w:tcPr>
          <w:p w14:paraId="71314778"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A8FA994"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7</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469444B"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8</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56DCD90"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Описание изменений учетной политики, их причин и характера (раскрываются наименование МСФО, в соответствии с которым производятся изменения, причины, по которым применение новых МСФО обеспечивает более надежную и уместную корректировку, и дается описание влияния изменений учетной политики на корректировки текущего и предыдущего периода)</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073B866" w14:textId="482F8CC4"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Раздел 3.8 Учет договор аренды изложен в новой редакции. Данное изменение продиктовано вступлением в силу МСФО (IFRS) 16 и ОСБУ 635-П. Причинами, применение стандарта являются обеспечение порядка раскрытия арендаторами и арендодателями уместной информации, правдиво представляющей эти операции. Данная информация является основой, используемой пользователями финансовой отчетности для оценки влияния аренды на финансовое положение, финансовые результаты и денежные потоки организации.</w:t>
            </w:r>
          </w:p>
        </w:tc>
      </w:tr>
      <w:tr w:rsidR="00BF0614" w:rsidRPr="005D0706" w14:paraId="7411AC96" w14:textId="77777777" w:rsidTr="004D3278">
        <w:trPr>
          <w:gridAfter w:val="6"/>
          <w:wAfter w:w="22506" w:type="dxa"/>
          <w:trHeight w:val="2430"/>
        </w:trPr>
        <w:tc>
          <w:tcPr>
            <w:tcW w:w="125" w:type="dxa"/>
            <w:tcMar>
              <w:top w:w="0" w:type="dxa"/>
              <w:left w:w="105" w:type="dxa"/>
              <w:bottom w:w="0" w:type="dxa"/>
              <w:right w:w="0" w:type="dxa"/>
            </w:tcMar>
            <w:vAlign w:val="center"/>
            <w:hideMark/>
          </w:tcPr>
          <w:p w14:paraId="5FF3B9B8"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428B8D6"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8</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947C049"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8</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0A8827D"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Приводятся наименования выпущенных, но не вступивших в силу МСФО с указанием дат, с которых планируется применение этих МСФО, дат, с которых требуется применение этих МСФО, характера предстоящих изменений в учетной политике, обсуждения ожидаемого влияния на отчетность или указанием того, что такое влияние не может быть обоснованно оценено</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BA2EAAC" w14:textId="633814A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МСФО (IFRS) 17 «Договоры страхования» (</w:t>
            </w:r>
            <w:proofErr w:type="gramStart"/>
            <w:r w:rsidRPr="00BF0614">
              <w:rPr>
                <w:rFonts w:ascii="Arial" w:hAnsi="Arial" w:cs="Arial"/>
                <w:sz w:val="16"/>
                <w:szCs w:val="16"/>
              </w:rPr>
              <w:t>выпущен</w:t>
            </w:r>
            <w:proofErr w:type="gramEnd"/>
            <w:r w:rsidRPr="00BF0614">
              <w:rPr>
                <w:rFonts w:ascii="Arial" w:hAnsi="Arial" w:cs="Arial"/>
                <w:sz w:val="16"/>
                <w:szCs w:val="16"/>
              </w:rPr>
              <w:t xml:space="preserve"> в июне 2018 года и подлежит применению на обязательной основе в отношении годовых отчетных периодов, начинающихся с января 2021 года или после этой даты). МСФО (IFRS) 3 "Объединения бизнесов" (</w:t>
            </w:r>
            <w:proofErr w:type="gramStart"/>
            <w:r w:rsidRPr="00BF0614">
              <w:rPr>
                <w:rFonts w:ascii="Arial" w:hAnsi="Arial" w:cs="Arial"/>
                <w:sz w:val="16"/>
                <w:szCs w:val="16"/>
              </w:rPr>
              <w:t>выпущен</w:t>
            </w:r>
            <w:proofErr w:type="gramEnd"/>
            <w:r w:rsidRPr="00BF0614">
              <w:rPr>
                <w:rFonts w:ascii="Arial" w:hAnsi="Arial" w:cs="Arial"/>
                <w:sz w:val="16"/>
                <w:szCs w:val="16"/>
              </w:rPr>
              <w:t xml:space="preserve"> в декабре 2015 года, подготовлена новая редакция с изменениями и дополнениями, которые вступают в силу с 1 января 2021 года). МСФО (IAS) 1 "Представление финансовой отчетности" (</w:t>
            </w:r>
            <w:proofErr w:type="gramStart"/>
            <w:r w:rsidRPr="00BF0614">
              <w:rPr>
                <w:rFonts w:ascii="Arial" w:hAnsi="Arial" w:cs="Arial"/>
                <w:sz w:val="16"/>
                <w:szCs w:val="16"/>
              </w:rPr>
              <w:t>выпущен</w:t>
            </w:r>
            <w:proofErr w:type="gramEnd"/>
            <w:r w:rsidRPr="00BF0614">
              <w:rPr>
                <w:rFonts w:ascii="Arial" w:hAnsi="Arial" w:cs="Arial"/>
                <w:sz w:val="16"/>
                <w:szCs w:val="16"/>
              </w:rPr>
              <w:t xml:space="preserve"> в декабре 2015 года, подготовлена редакция с изменениями и дополнениями, которые вступают в силу с 1 января 2021 года). Данные МСФО не оказывают влияние на отчетность.</w:t>
            </w:r>
          </w:p>
        </w:tc>
      </w:tr>
      <w:tr w:rsidR="00BF0614" w:rsidRPr="005D0706" w14:paraId="53990ADF" w14:textId="797DB950" w:rsidTr="004D3278">
        <w:trPr>
          <w:gridAfter w:val="1"/>
          <w:wAfter w:w="105" w:type="dxa"/>
          <w:trHeight w:val="570"/>
        </w:trPr>
        <w:tc>
          <w:tcPr>
            <w:tcW w:w="125" w:type="dxa"/>
            <w:tcMar>
              <w:top w:w="0" w:type="dxa"/>
              <w:left w:w="105" w:type="dxa"/>
              <w:bottom w:w="0" w:type="dxa"/>
              <w:right w:w="0" w:type="dxa"/>
            </w:tcMar>
            <w:vAlign w:val="center"/>
            <w:hideMark/>
          </w:tcPr>
          <w:p w14:paraId="6516EA1B"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B1FF223" w14:textId="77777777" w:rsidR="00BF0614" w:rsidRPr="00BF0614" w:rsidRDefault="00BF0614" w:rsidP="005D0706">
            <w:pPr>
              <w:spacing w:after="0" w:line="240" w:lineRule="auto"/>
              <w:jc w:val="center"/>
              <w:rPr>
                <w:rFonts w:ascii="Arial" w:eastAsia="Times New Roman" w:hAnsi="Arial" w:cs="Arial"/>
                <w:b/>
                <w:bCs/>
                <w:sz w:val="16"/>
                <w:szCs w:val="16"/>
                <w:lang w:eastAsia="ru-RU"/>
              </w:rPr>
            </w:pPr>
            <w:r w:rsidRPr="00BF0614">
              <w:rPr>
                <w:rFonts w:ascii="Arial" w:eastAsia="Times New Roman" w:hAnsi="Arial" w:cs="Arial"/>
                <w:b/>
                <w:bCs/>
                <w:sz w:val="16"/>
                <w:szCs w:val="16"/>
                <w:lang w:eastAsia="ru-RU"/>
              </w:rPr>
              <w:t>Раздел III. Принципы учетной политики, которые представляются уместными для понимания бухгалтерской (финансовой) отчетности. Критерии признания и база оценки финансовых инструментов</w:t>
            </w:r>
          </w:p>
        </w:tc>
        <w:tc>
          <w:tcPr>
            <w:tcW w:w="7467" w:type="dxa"/>
          </w:tcPr>
          <w:p w14:paraId="673B200E" w14:textId="77777777" w:rsidR="00BF0614" w:rsidRPr="005D0706" w:rsidRDefault="00BF0614"/>
        </w:tc>
        <w:tc>
          <w:tcPr>
            <w:tcW w:w="7467" w:type="dxa"/>
            <w:gridSpan w:val="2"/>
          </w:tcPr>
          <w:p w14:paraId="6249ABCD" w14:textId="77777777" w:rsidR="00BF0614" w:rsidRPr="005D0706" w:rsidRDefault="00BF0614"/>
        </w:tc>
        <w:tc>
          <w:tcPr>
            <w:tcW w:w="7467" w:type="dxa"/>
            <w:gridSpan w:val="2"/>
            <w:vAlign w:val="center"/>
          </w:tcPr>
          <w:p w14:paraId="3F50B4D5" w14:textId="163635A9" w:rsidR="00BF0614" w:rsidRPr="005D0706" w:rsidRDefault="00BF0614">
            <w:r>
              <w:rPr>
                <w:b/>
                <w:sz w:val="18"/>
                <w:szCs w:val="18"/>
              </w:rPr>
              <w:t>Раздел III. Принципы учетной политики, которые представляются уместными для понимания бухгалтерской (финансовой) отчетности. Критерии признания и база оценки финансовых инструментов</w:t>
            </w:r>
          </w:p>
        </w:tc>
      </w:tr>
      <w:tr w:rsidR="00BF0614" w:rsidRPr="005D0706" w14:paraId="6FE36325" w14:textId="77777777" w:rsidTr="004D3278">
        <w:trPr>
          <w:gridAfter w:val="6"/>
          <w:wAfter w:w="22506" w:type="dxa"/>
          <w:trHeight w:val="1710"/>
        </w:trPr>
        <w:tc>
          <w:tcPr>
            <w:tcW w:w="125" w:type="dxa"/>
            <w:tcMar>
              <w:top w:w="0" w:type="dxa"/>
              <w:left w:w="105" w:type="dxa"/>
              <w:bottom w:w="0" w:type="dxa"/>
              <w:right w:w="0" w:type="dxa"/>
            </w:tcMar>
            <w:vAlign w:val="center"/>
            <w:hideMark/>
          </w:tcPr>
          <w:p w14:paraId="3142E4E7"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E544E3A"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9</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349FEE2"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8C3E8A9"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Критерии признания и база оценки денежных средств и их эквивалентов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4EC17CF3" w14:textId="38B5458C"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Классификация активов Общества в категорию денежных средств и их эквивалентов осуществляется в соответствии с МСФО (IAS) 7. В категорию денежных средств и их эквивалентов Обществом классифицируются следующие активы: денежные средства в кассе Общества; денежные средства на расчетных и специальных (корпоративных) счетах, открытых в кредитных организациях, МНО, срок размещения которых составляет менее 90 календарных дней. Не включаются в категорию денежных средств и их </w:t>
            </w:r>
            <w:r w:rsidRPr="00BF0614">
              <w:rPr>
                <w:rFonts w:ascii="Arial" w:hAnsi="Arial" w:cs="Arial"/>
                <w:sz w:val="16"/>
                <w:szCs w:val="16"/>
              </w:rPr>
              <w:lastRenderedPageBreak/>
              <w:t>эквивалентов следующие активы: денежные средства, перечисленные брокеру для осуществления сделок купли-продажи ценных бумаг (в целях составления отчетности указанные активы отражаются в составе сре</w:t>
            </w:r>
            <w:proofErr w:type="gramStart"/>
            <w:r w:rsidRPr="00BF0614">
              <w:rPr>
                <w:rFonts w:ascii="Arial" w:hAnsi="Arial" w:cs="Arial"/>
                <w:sz w:val="16"/>
                <w:szCs w:val="16"/>
              </w:rPr>
              <w:t>дств в кр</w:t>
            </w:r>
            <w:proofErr w:type="gramEnd"/>
            <w:r w:rsidRPr="00BF0614">
              <w:rPr>
                <w:rFonts w:ascii="Arial" w:hAnsi="Arial" w:cs="Arial"/>
                <w:sz w:val="16"/>
                <w:szCs w:val="16"/>
              </w:rPr>
              <w:t>едитных организациях и банках-нерезидентах, оцениваемые по амортизированной стоимости); денежные средства, размещенные по договору на поддержание минимального неснижаемого остатка (МНО) по расчетному счету, срок действия которого составляет более 90 календарных дней (в целях составления отчетности указанные активы отражаются в составе депозитов и прочих размещенных сре</w:t>
            </w:r>
            <w:proofErr w:type="gramStart"/>
            <w:r w:rsidRPr="00BF0614">
              <w:rPr>
                <w:rFonts w:ascii="Arial" w:hAnsi="Arial" w:cs="Arial"/>
                <w:sz w:val="16"/>
                <w:szCs w:val="16"/>
              </w:rPr>
              <w:t>дств в кр</w:t>
            </w:r>
            <w:proofErr w:type="gramEnd"/>
            <w:r w:rsidRPr="00BF0614">
              <w:rPr>
                <w:rFonts w:ascii="Arial" w:hAnsi="Arial" w:cs="Arial"/>
                <w:sz w:val="16"/>
                <w:szCs w:val="16"/>
              </w:rPr>
              <w:t>едитных организациях и банках-нерезидентах), депозиты, размещенные в кредитных организациях и банках-нерезидентах. Денежные средства и их эквиваленты оцениваются по амортизированной стоимости. При наличии объективных признаков обесценения денежных средств и их эквивалентов формируется резерв под обесценение денежных средств и их эквивалентов.</w:t>
            </w:r>
          </w:p>
        </w:tc>
      </w:tr>
      <w:tr w:rsidR="00BF0614" w:rsidRPr="005D0706" w14:paraId="58602BAD" w14:textId="77777777" w:rsidTr="004D3278">
        <w:trPr>
          <w:gridAfter w:val="6"/>
          <w:wAfter w:w="22506" w:type="dxa"/>
          <w:trHeight w:val="2190"/>
        </w:trPr>
        <w:tc>
          <w:tcPr>
            <w:tcW w:w="125" w:type="dxa"/>
            <w:tcMar>
              <w:top w:w="0" w:type="dxa"/>
              <w:left w:w="105" w:type="dxa"/>
              <w:bottom w:w="0" w:type="dxa"/>
              <w:right w:w="0" w:type="dxa"/>
            </w:tcMar>
            <w:vAlign w:val="center"/>
            <w:hideMark/>
          </w:tcPr>
          <w:p w14:paraId="015F7FBA"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7B3AAA8"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10</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2A6CFB0"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47A8461"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Критерии признания и база оценки средств, размещенных в кредитных организациях и банках-нерезидентах</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4B35573A" w14:textId="1D39EBB2"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При первоначальном признании депозиты и прочие размещенные средства в кредитных организациях и банках-</w:t>
            </w:r>
            <w:proofErr w:type="spellStart"/>
            <w:r w:rsidRPr="00BF0614">
              <w:rPr>
                <w:rFonts w:ascii="Arial" w:hAnsi="Arial" w:cs="Arial"/>
                <w:sz w:val="16"/>
                <w:szCs w:val="16"/>
              </w:rPr>
              <w:t>нерезедентах</w:t>
            </w:r>
            <w:proofErr w:type="spellEnd"/>
            <w:r w:rsidRPr="00BF0614">
              <w:rPr>
                <w:rFonts w:ascii="Arial" w:hAnsi="Arial" w:cs="Arial"/>
                <w:sz w:val="16"/>
                <w:szCs w:val="16"/>
              </w:rPr>
              <w:t xml:space="preserve"> оцениваются по </w:t>
            </w:r>
            <w:proofErr w:type="spellStart"/>
            <w:r w:rsidRPr="00BF0614">
              <w:rPr>
                <w:rFonts w:ascii="Arial" w:hAnsi="Arial" w:cs="Arial"/>
                <w:sz w:val="16"/>
                <w:szCs w:val="16"/>
              </w:rPr>
              <w:t>спроведливой</w:t>
            </w:r>
            <w:proofErr w:type="spellEnd"/>
            <w:r w:rsidRPr="00BF0614">
              <w:rPr>
                <w:rFonts w:ascii="Arial" w:hAnsi="Arial" w:cs="Arial"/>
                <w:sz w:val="16"/>
                <w:szCs w:val="16"/>
              </w:rPr>
              <w:t xml:space="preserve"> стоимости. Справедливой стоимость депозитов в кредитных организациях является сумма договора.</w:t>
            </w:r>
          </w:p>
        </w:tc>
      </w:tr>
      <w:tr w:rsidR="00BF0614" w:rsidRPr="005D0706" w14:paraId="55E7785F" w14:textId="77777777" w:rsidTr="004D3278">
        <w:trPr>
          <w:gridAfter w:val="6"/>
          <w:wAfter w:w="22506" w:type="dxa"/>
          <w:trHeight w:val="2190"/>
        </w:trPr>
        <w:tc>
          <w:tcPr>
            <w:tcW w:w="125" w:type="dxa"/>
            <w:tcMar>
              <w:top w:w="0" w:type="dxa"/>
              <w:left w:w="105" w:type="dxa"/>
              <w:bottom w:w="0" w:type="dxa"/>
              <w:right w:w="0" w:type="dxa"/>
            </w:tcMar>
            <w:vAlign w:val="center"/>
            <w:hideMark/>
          </w:tcPr>
          <w:p w14:paraId="7C78835B"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6542F66"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6AB20EA"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 МСФО (IFRS) 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E1A8812"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финансовых активов, оцениваемых по справедливой стоимости через прибыль или убыток</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5AE31D4A" w14:textId="5213CB5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В Обществе отсутствуют активы, </w:t>
            </w:r>
            <w:proofErr w:type="spellStart"/>
            <w:r w:rsidRPr="00BF0614">
              <w:rPr>
                <w:rFonts w:ascii="Arial" w:hAnsi="Arial" w:cs="Arial"/>
                <w:sz w:val="16"/>
                <w:szCs w:val="16"/>
              </w:rPr>
              <w:t>оценивыемые</w:t>
            </w:r>
            <w:proofErr w:type="spellEnd"/>
            <w:r w:rsidRPr="00BF0614">
              <w:rPr>
                <w:rFonts w:ascii="Arial" w:hAnsi="Arial" w:cs="Arial"/>
                <w:sz w:val="16"/>
                <w:szCs w:val="16"/>
              </w:rPr>
              <w:t xml:space="preserve"> по справедливой стоимости через прибыль и убыток</w:t>
            </w:r>
          </w:p>
        </w:tc>
      </w:tr>
      <w:tr w:rsidR="00BF0614" w:rsidRPr="005D0706" w14:paraId="23FBB889" w14:textId="77777777" w:rsidTr="004D3278">
        <w:trPr>
          <w:gridAfter w:val="6"/>
          <w:wAfter w:w="22506" w:type="dxa"/>
          <w:trHeight w:val="2190"/>
        </w:trPr>
        <w:tc>
          <w:tcPr>
            <w:tcW w:w="125" w:type="dxa"/>
            <w:tcMar>
              <w:top w:w="0" w:type="dxa"/>
              <w:left w:w="105" w:type="dxa"/>
              <w:bottom w:w="0" w:type="dxa"/>
              <w:right w:w="0" w:type="dxa"/>
            </w:tcMar>
            <w:vAlign w:val="center"/>
            <w:hideMark/>
          </w:tcPr>
          <w:p w14:paraId="2C01C235"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A844218"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12</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EE88091"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 МСФО (IFRS) 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898F917"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финансовых активов, оцениваемых по справедливой стоимости через прочий совокупный доход</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F98CCF4" w14:textId="5C6D24AB"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В Обществе отсутствуют активы, </w:t>
            </w:r>
            <w:proofErr w:type="spellStart"/>
            <w:r w:rsidRPr="00BF0614">
              <w:rPr>
                <w:rFonts w:ascii="Arial" w:hAnsi="Arial" w:cs="Arial"/>
                <w:sz w:val="16"/>
                <w:szCs w:val="16"/>
              </w:rPr>
              <w:t>оценивыемые</w:t>
            </w:r>
            <w:proofErr w:type="spellEnd"/>
            <w:r w:rsidRPr="00BF0614">
              <w:rPr>
                <w:rFonts w:ascii="Arial" w:hAnsi="Arial" w:cs="Arial"/>
                <w:sz w:val="16"/>
                <w:szCs w:val="16"/>
              </w:rPr>
              <w:t xml:space="preserve"> по справедливой стоимости через прочий совокупный доход</w:t>
            </w:r>
          </w:p>
        </w:tc>
      </w:tr>
      <w:tr w:rsidR="00BF0614" w:rsidRPr="005D0706" w14:paraId="6119C457" w14:textId="77777777" w:rsidTr="004D3278">
        <w:trPr>
          <w:gridAfter w:val="6"/>
          <w:wAfter w:w="22506" w:type="dxa"/>
          <w:trHeight w:val="2190"/>
        </w:trPr>
        <w:tc>
          <w:tcPr>
            <w:tcW w:w="125" w:type="dxa"/>
            <w:tcMar>
              <w:top w:w="0" w:type="dxa"/>
              <w:left w:w="105" w:type="dxa"/>
              <w:bottom w:w="0" w:type="dxa"/>
              <w:right w:w="0" w:type="dxa"/>
            </w:tcMar>
            <w:vAlign w:val="center"/>
            <w:hideMark/>
          </w:tcPr>
          <w:p w14:paraId="0AE3180B"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51E2148"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13</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FEFA558"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9, 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7A6E0CF"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финансовых активов, оцениваемых по амортизированной стоимости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80B35BE" w14:textId="79B8BF49" w:rsidR="00BF0614" w:rsidRPr="00BF0614" w:rsidRDefault="00BF0614" w:rsidP="005D0706">
            <w:pPr>
              <w:spacing w:after="0" w:line="240" w:lineRule="auto"/>
              <w:rPr>
                <w:rFonts w:ascii="Arial" w:eastAsia="Times New Roman" w:hAnsi="Arial" w:cs="Arial"/>
                <w:sz w:val="16"/>
                <w:szCs w:val="16"/>
                <w:lang w:eastAsia="ru-RU"/>
              </w:rPr>
            </w:pPr>
            <w:proofErr w:type="gramStart"/>
            <w:r w:rsidRPr="00BF0614">
              <w:rPr>
                <w:rFonts w:ascii="Arial" w:hAnsi="Arial" w:cs="Arial"/>
                <w:sz w:val="16"/>
                <w:szCs w:val="16"/>
              </w:rPr>
              <w:t>Финансовыми активами, оцениваемыми по</w:t>
            </w:r>
            <w:r w:rsidRPr="00BF0614">
              <w:rPr>
                <w:rFonts w:ascii="Arial" w:hAnsi="Arial" w:cs="Arial"/>
                <w:sz w:val="16"/>
                <w:szCs w:val="16"/>
              </w:rPr>
              <w:br/>
              <w:t>амортизированной стоимости Общество признает</w:t>
            </w:r>
            <w:r w:rsidRPr="00BF0614">
              <w:rPr>
                <w:rFonts w:ascii="Arial" w:hAnsi="Arial" w:cs="Arial"/>
                <w:sz w:val="16"/>
                <w:szCs w:val="16"/>
              </w:rPr>
              <w:br/>
              <w:t>инвестиции, удерживаемые до срока погашения, которые</w:t>
            </w:r>
            <w:r w:rsidRPr="00BF0614">
              <w:rPr>
                <w:rFonts w:ascii="Arial" w:hAnsi="Arial" w:cs="Arial"/>
                <w:sz w:val="16"/>
                <w:szCs w:val="16"/>
              </w:rPr>
              <w:br/>
              <w:t>представляют собой непроизводные финансовые</w:t>
            </w:r>
            <w:r w:rsidRPr="00BF0614">
              <w:rPr>
                <w:rFonts w:ascii="Arial" w:hAnsi="Arial" w:cs="Arial"/>
                <w:sz w:val="16"/>
                <w:szCs w:val="16"/>
              </w:rPr>
              <w:br/>
              <w:t>активы с фиксированными или определенными</w:t>
            </w:r>
            <w:r w:rsidRPr="00BF0614">
              <w:rPr>
                <w:rFonts w:ascii="Arial" w:hAnsi="Arial" w:cs="Arial"/>
                <w:sz w:val="16"/>
                <w:szCs w:val="16"/>
              </w:rPr>
              <w:br/>
              <w:t>платежами и фиксированным сроком погашения,</w:t>
            </w:r>
            <w:r w:rsidRPr="00BF0614">
              <w:rPr>
                <w:rFonts w:ascii="Arial" w:hAnsi="Arial" w:cs="Arial"/>
                <w:sz w:val="16"/>
                <w:szCs w:val="16"/>
              </w:rPr>
              <w:br/>
              <w:t>которые Общество  намерено и способно удерживать до</w:t>
            </w:r>
            <w:r w:rsidRPr="00BF0614">
              <w:rPr>
                <w:rFonts w:ascii="Arial" w:hAnsi="Arial" w:cs="Arial"/>
                <w:sz w:val="16"/>
                <w:szCs w:val="16"/>
              </w:rPr>
              <w:br/>
              <w:t>наступления срока погашения, за исключением тех,</w:t>
            </w:r>
            <w:r w:rsidRPr="00BF0614">
              <w:rPr>
                <w:rFonts w:ascii="Arial" w:hAnsi="Arial" w:cs="Arial"/>
                <w:sz w:val="16"/>
                <w:szCs w:val="16"/>
              </w:rPr>
              <w:br/>
              <w:t>которые:</w:t>
            </w:r>
            <w:r w:rsidRPr="00BF0614">
              <w:rPr>
                <w:rFonts w:ascii="Arial" w:hAnsi="Arial" w:cs="Arial"/>
                <w:sz w:val="16"/>
                <w:szCs w:val="16"/>
              </w:rPr>
              <w:br/>
              <w:t>- в момент первоначального признания Общество</w:t>
            </w:r>
            <w:r w:rsidRPr="00BF0614">
              <w:rPr>
                <w:rFonts w:ascii="Arial" w:hAnsi="Arial" w:cs="Arial"/>
                <w:sz w:val="16"/>
                <w:szCs w:val="16"/>
              </w:rPr>
              <w:br/>
            </w:r>
            <w:r w:rsidRPr="00BF0614">
              <w:rPr>
                <w:rFonts w:ascii="Arial" w:hAnsi="Arial" w:cs="Arial"/>
                <w:sz w:val="16"/>
                <w:szCs w:val="16"/>
              </w:rPr>
              <w:lastRenderedPageBreak/>
              <w:t>определяет в категорию оцениваемых по</w:t>
            </w:r>
            <w:r w:rsidRPr="00BF0614">
              <w:rPr>
                <w:rFonts w:ascii="Arial" w:hAnsi="Arial" w:cs="Arial"/>
                <w:sz w:val="16"/>
                <w:szCs w:val="16"/>
              </w:rPr>
              <w:br/>
              <w:t>справедливой стоимости, изменения которой</w:t>
            </w:r>
            <w:r w:rsidRPr="00BF0614">
              <w:rPr>
                <w:rFonts w:ascii="Arial" w:hAnsi="Arial" w:cs="Arial"/>
                <w:sz w:val="16"/>
                <w:szCs w:val="16"/>
              </w:rPr>
              <w:br/>
              <w:t>отражаются в составе прибыли</w:t>
            </w:r>
            <w:proofErr w:type="gramEnd"/>
            <w:r w:rsidRPr="00BF0614">
              <w:rPr>
                <w:rFonts w:ascii="Arial" w:hAnsi="Arial" w:cs="Arial"/>
                <w:sz w:val="16"/>
                <w:szCs w:val="16"/>
              </w:rPr>
              <w:t xml:space="preserve"> или убытка за</w:t>
            </w:r>
            <w:r w:rsidRPr="00BF0614">
              <w:rPr>
                <w:rFonts w:ascii="Arial" w:hAnsi="Arial" w:cs="Arial"/>
                <w:sz w:val="16"/>
                <w:szCs w:val="16"/>
              </w:rPr>
              <w:br/>
              <w:t>период;</w:t>
            </w:r>
            <w:r w:rsidRPr="00BF0614">
              <w:rPr>
                <w:rFonts w:ascii="Arial" w:hAnsi="Arial" w:cs="Arial"/>
                <w:sz w:val="16"/>
                <w:szCs w:val="16"/>
              </w:rPr>
              <w:br/>
              <w:t>- соответствуют определению депозитов и</w:t>
            </w:r>
            <w:r w:rsidRPr="00BF0614">
              <w:rPr>
                <w:rFonts w:ascii="Arial" w:hAnsi="Arial" w:cs="Arial"/>
                <w:sz w:val="16"/>
                <w:szCs w:val="16"/>
              </w:rPr>
              <w:br/>
              <w:t>дебиторской задолженности.</w:t>
            </w:r>
            <w:r w:rsidRPr="00BF0614">
              <w:rPr>
                <w:rFonts w:ascii="Arial" w:hAnsi="Arial" w:cs="Arial"/>
                <w:sz w:val="16"/>
                <w:szCs w:val="16"/>
              </w:rPr>
              <w:br/>
            </w:r>
            <w:proofErr w:type="gramStart"/>
            <w:r w:rsidRPr="00BF0614">
              <w:rPr>
                <w:rFonts w:ascii="Arial" w:hAnsi="Arial" w:cs="Arial"/>
                <w:sz w:val="16"/>
                <w:szCs w:val="16"/>
              </w:rPr>
              <w:t>Амортизированной стоимостью денежных средств,</w:t>
            </w:r>
            <w:r w:rsidRPr="00BF0614">
              <w:rPr>
                <w:rFonts w:ascii="Arial" w:hAnsi="Arial" w:cs="Arial"/>
                <w:sz w:val="16"/>
                <w:szCs w:val="16"/>
              </w:rPr>
              <w:br/>
              <w:t>выданных (размещенных) по договору займа</w:t>
            </w:r>
            <w:r w:rsidRPr="00BF0614">
              <w:rPr>
                <w:rFonts w:ascii="Arial" w:hAnsi="Arial" w:cs="Arial"/>
                <w:sz w:val="16"/>
                <w:szCs w:val="16"/>
              </w:rPr>
              <w:br/>
              <w:t>признается сумма, в которой денежные средства</w:t>
            </w:r>
            <w:r w:rsidRPr="00BF0614">
              <w:rPr>
                <w:rFonts w:ascii="Arial" w:hAnsi="Arial" w:cs="Arial"/>
                <w:sz w:val="16"/>
                <w:szCs w:val="16"/>
              </w:rPr>
              <w:br/>
              <w:t>оцениваются при первоначальном признании, за</w:t>
            </w:r>
            <w:r w:rsidRPr="00BF0614">
              <w:rPr>
                <w:rFonts w:ascii="Arial" w:hAnsi="Arial" w:cs="Arial"/>
                <w:sz w:val="16"/>
                <w:szCs w:val="16"/>
              </w:rPr>
              <w:br/>
              <w:t>вычетом выплат в погашение основной суммы</w:t>
            </w:r>
            <w:r w:rsidRPr="00BF0614">
              <w:rPr>
                <w:rFonts w:ascii="Arial" w:hAnsi="Arial" w:cs="Arial"/>
                <w:sz w:val="16"/>
                <w:szCs w:val="16"/>
              </w:rPr>
              <w:br/>
              <w:t>долга, уменьшенная или увеличенная на сумму</w:t>
            </w:r>
            <w:r w:rsidRPr="00BF0614">
              <w:rPr>
                <w:rFonts w:ascii="Arial" w:hAnsi="Arial" w:cs="Arial"/>
                <w:sz w:val="16"/>
                <w:szCs w:val="16"/>
              </w:rPr>
              <w:br/>
              <w:t>накопленной с использованием метода эффективной</w:t>
            </w:r>
            <w:r w:rsidRPr="00BF0614">
              <w:rPr>
                <w:rFonts w:ascii="Arial" w:hAnsi="Arial" w:cs="Arial"/>
                <w:sz w:val="16"/>
                <w:szCs w:val="16"/>
              </w:rPr>
              <w:br/>
              <w:t>ставки процента (далее – ЭСП) амортизации</w:t>
            </w:r>
            <w:r w:rsidRPr="00BF0614">
              <w:rPr>
                <w:rFonts w:ascii="Arial" w:hAnsi="Arial" w:cs="Arial"/>
                <w:sz w:val="16"/>
                <w:szCs w:val="16"/>
              </w:rPr>
              <w:br/>
              <w:t>разницы между первоначальной стоимостью и</w:t>
            </w:r>
            <w:r w:rsidRPr="00BF0614">
              <w:rPr>
                <w:rFonts w:ascii="Arial" w:hAnsi="Arial" w:cs="Arial"/>
                <w:sz w:val="16"/>
                <w:szCs w:val="16"/>
              </w:rPr>
              <w:br/>
              <w:t>суммой погашения, а также за вычетом суммы</w:t>
            </w:r>
            <w:r w:rsidRPr="00BF0614">
              <w:rPr>
                <w:rFonts w:ascii="Arial" w:hAnsi="Arial" w:cs="Arial"/>
                <w:sz w:val="16"/>
                <w:szCs w:val="16"/>
              </w:rPr>
              <w:br/>
              <w:t>созданного резерва под обесценение.</w:t>
            </w:r>
            <w:proofErr w:type="gramEnd"/>
            <w:r w:rsidRPr="00BF0614">
              <w:rPr>
                <w:rFonts w:ascii="Arial" w:hAnsi="Arial" w:cs="Arial"/>
                <w:sz w:val="16"/>
                <w:szCs w:val="16"/>
              </w:rPr>
              <w:t xml:space="preserve"> Последующая</w:t>
            </w:r>
            <w:r w:rsidRPr="00BF0614">
              <w:rPr>
                <w:rFonts w:ascii="Arial" w:hAnsi="Arial" w:cs="Arial"/>
                <w:sz w:val="16"/>
                <w:szCs w:val="16"/>
              </w:rPr>
              <w:br/>
              <w:t>оценка финансовых активов, квалифицированных</w:t>
            </w:r>
            <w:r w:rsidRPr="00BF0614">
              <w:rPr>
                <w:rFonts w:ascii="Arial" w:hAnsi="Arial" w:cs="Arial"/>
                <w:sz w:val="16"/>
                <w:szCs w:val="16"/>
              </w:rPr>
              <w:br/>
              <w:t>как оцениваемые по амортизированной стоимости</w:t>
            </w:r>
            <w:r w:rsidRPr="00BF0614">
              <w:rPr>
                <w:rFonts w:ascii="Arial" w:hAnsi="Arial" w:cs="Arial"/>
                <w:sz w:val="16"/>
                <w:szCs w:val="16"/>
              </w:rPr>
              <w:br/>
              <w:t>осуществляется с использованием метода</w:t>
            </w:r>
            <w:r w:rsidRPr="00BF0614">
              <w:rPr>
                <w:rFonts w:ascii="Arial" w:hAnsi="Arial" w:cs="Arial"/>
                <w:sz w:val="16"/>
                <w:szCs w:val="16"/>
              </w:rPr>
              <w:br/>
              <w:t>эффективной ставки процента.</w:t>
            </w:r>
          </w:p>
        </w:tc>
      </w:tr>
      <w:tr w:rsidR="00BF0614" w:rsidRPr="005D0706" w14:paraId="7F853292" w14:textId="77777777" w:rsidTr="004D3278">
        <w:trPr>
          <w:gridAfter w:val="6"/>
          <w:wAfter w:w="22506" w:type="dxa"/>
          <w:trHeight w:val="2190"/>
        </w:trPr>
        <w:tc>
          <w:tcPr>
            <w:tcW w:w="125" w:type="dxa"/>
            <w:tcMar>
              <w:top w:w="0" w:type="dxa"/>
              <w:left w:w="105" w:type="dxa"/>
              <w:bottom w:w="0" w:type="dxa"/>
              <w:right w:w="0" w:type="dxa"/>
            </w:tcMar>
            <w:vAlign w:val="center"/>
            <w:hideMark/>
          </w:tcPr>
          <w:p w14:paraId="348E236F"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BF22D65"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14</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4C44DE4"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(IAS) 27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9ECE146"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инвестиций в дочерние, совместно контролируемые и ассоциированные предприятия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2F8AEBCF" w14:textId="32C667C3"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В Обществе отсутствуют инвестиций в дочерние, совместно контролируемые и ассоциированные предприятия</w:t>
            </w:r>
          </w:p>
        </w:tc>
      </w:tr>
      <w:tr w:rsidR="00BF0614" w:rsidRPr="005D0706" w14:paraId="0CAA36F6" w14:textId="77777777" w:rsidTr="004D3278">
        <w:trPr>
          <w:gridAfter w:val="6"/>
          <w:wAfter w:w="22506" w:type="dxa"/>
          <w:trHeight w:val="1710"/>
        </w:trPr>
        <w:tc>
          <w:tcPr>
            <w:tcW w:w="125" w:type="dxa"/>
            <w:tcMar>
              <w:top w:w="0" w:type="dxa"/>
              <w:left w:w="105" w:type="dxa"/>
              <w:bottom w:w="0" w:type="dxa"/>
              <w:right w:w="0" w:type="dxa"/>
            </w:tcMar>
            <w:vAlign w:val="center"/>
            <w:hideMark/>
          </w:tcPr>
          <w:p w14:paraId="33F20B18"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7A05B87"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15</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DE432A5"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677AD4D"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прочих активов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8400FC8" w14:textId="008784B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Прочие активы учитываются по первоначальной стоимости в размере фактических затрат на их приобретение и не подлежат последующей переоценке по справедливой стоимости после их первоначального признания.</w:t>
            </w:r>
          </w:p>
        </w:tc>
      </w:tr>
      <w:tr w:rsidR="00BF0614" w:rsidRPr="005D0706" w14:paraId="4D78B3E3" w14:textId="77777777" w:rsidTr="004D3278">
        <w:trPr>
          <w:gridAfter w:val="6"/>
          <w:wAfter w:w="22506" w:type="dxa"/>
          <w:trHeight w:val="2190"/>
        </w:trPr>
        <w:tc>
          <w:tcPr>
            <w:tcW w:w="125" w:type="dxa"/>
            <w:tcMar>
              <w:top w:w="0" w:type="dxa"/>
              <w:left w:w="105" w:type="dxa"/>
              <w:bottom w:w="0" w:type="dxa"/>
              <w:right w:w="0" w:type="dxa"/>
            </w:tcMar>
            <w:vAlign w:val="center"/>
            <w:hideMark/>
          </w:tcPr>
          <w:p w14:paraId="790B43E5"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038A1CD"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16</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7A407D1"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 МСФО (IFRS) 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ACCCEAB"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финансовых обязательств, оцениваемых по справедливой стоимости через прибыль или убыток</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2E21459F" w14:textId="69FB81B9"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В Обществе отсутствуют обязательства, учитываемые по справедливой стоимости через прибыль и убыток</w:t>
            </w:r>
          </w:p>
        </w:tc>
      </w:tr>
      <w:tr w:rsidR="00BF0614" w:rsidRPr="005D0706" w14:paraId="432BD917" w14:textId="77777777" w:rsidTr="004D3278">
        <w:trPr>
          <w:gridAfter w:val="6"/>
          <w:wAfter w:w="22506" w:type="dxa"/>
          <w:trHeight w:val="2190"/>
        </w:trPr>
        <w:tc>
          <w:tcPr>
            <w:tcW w:w="125" w:type="dxa"/>
            <w:tcMar>
              <w:top w:w="0" w:type="dxa"/>
              <w:left w:w="105" w:type="dxa"/>
              <w:bottom w:w="0" w:type="dxa"/>
              <w:right w:w="0" w:type="dxa"/>
            </w:tcMar>
            <w:vAlign w:val="center"/>
            <w:hideMark/>
          </w:tcPr>
          <w:p w14:paraId="2A99DE1D"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BEABF6C"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17</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7BE779D"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 МСФО (IFRS) 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0FF92BB"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финансовых обязательств, оцениваемых по амортизированной стоимости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7AD01D2" w14:textId="70AC9236"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После первоначального признания Общество учитывает все финансовые обязательства по амортизированной стоимости.</w:t>
            </w:r>
            <w:r w:rsidRPr="00BF0614">
              <w:rPr>
                <w:rFonts w:ascii="Arial" w:hAnsi="Arial" w:cs="Arial"/>
                <w:sz w:val="16"/>
                <w:szCs w:val="16"/>
              </w:rPr>
              <w:br/>
              <w:t>Под амортизированной стоимостью финансового обязательства понимается величина, по которой финансовое обязательство оценивается при первоначальном признании, за вычетом выплат в погашения финансового обязательства.</w:t>
            </w:r>
            <w:r w:rsidRPr="00BF0614">
              <w:rPr>
                <w:rFonts w:ascii="Arial" w:hAnsi="Arial" w:cs="Arial"/>
                <w:sz w:val="16"/>
                <w:szCs w:val="16"/>
              </w:rPr>
              <w:br/>
              <w:t xml:space="preserve">Обязательства Общества не подлежат </w:t>
            </w:r>
            <w:proofErr w:type="spellStart"/>
            <w:r w:rsidRPr="00BF0614">
              <w:rPr>
                <w:rFonts w:ascii="Arial" w:hAnsi="Arial" w:cs="Arial"/>
                <w:sz w:val="16"/>
                <w:szCs w:val="16"/>
              </w:rPr>
              <w:t>реклассификации</w:t>
            </w:r>
            <w:proofErr w:type="spellEnd"/>
            <w:r w:rsidRPr="00BF0614">
              <w:rPr>
                <w:rFonts w:ascii="Arial" w:hAnsi="Arial" w:cs="Arial"/>
                <w:sz w:val="16"/>
                <w:szCs w:val="16"/>
              </w:rPr>
              <w:t>.</w:t>
            </w:r>
          </w:p>
        </w:tc>
      </w:tr>
      <w:tr w:rsidR="00BF0614" w:rsidRPr="005D0706" w14:paraId="07518BE0" w14:textId="77777777" w:rsidTr="004D3278">
        <w:trPr>
          <w:gridAfter w:val="6"/>
          <w:wAfter w:w="22506" w:type="dxa"/>
          <w:trHeight w:val="1710"/>
        </w:trPr>
        <w:tc>
          <w:tcPr>
            <w:tcW w:w="125" w:type="dxa"/>
            <w:tcMar>
              <w:top w:w="0" w:type="dxa"/>
              <w:left w:w="105" w:type="dxa"/>
              <w:bottom w:w="0" w:type="dxa"/>
              <w:right w:w="0" w:type="dxa"/>
            </w:tcMar>
            <w:vAlign w:val="center"/>
            <w:hideMark/>
          </w:tcPr>
          <w:p w14:paraId="04340E51"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C15ED6D"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18</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0424AAF"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32</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A37FE7B"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проведения взаимозачетов финансовых активов и финансовых обязательств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12A8587" w14:textId="7F6F8C13"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Финансовые активы и обязательства </w:t>
            </w:r>
            <w:proofErr w:type="spellStart"/>
            <w:r w:rsidRPr="00BF0614">
              <w:rPr>
                <w:rFonts w:ascii="Arial" w:hAnsi="Arial" w:cs="Arial"/>
                <w:sz w:val="16"/>
                <w:szCs w:val="16"/>
              </w:rPr>
              <w:t>взаимозачитываются</w:t>
            </w:r>
            <w:proofErr w:type="spellEnd"/>
            <w:r w:rsidRPr="00BF0614">
              <w:rPr>
                <w:rFonts w:ascii="Arial" w:hAnsi="Arial" w:cs="Arial"/>
                <w:sz w:val="16"/>
                <w:szCs w:val="16"/>
              </w:rPr>
              <w:t xml:space="preserve"> и в отчете о финансовом положении отражается чистая величина только в тех случаях, когда существует законодательно установленное право произвести взаимозачет отраженных сумм, а также намерение либо произвести взаимозачет, либо одновременно реализовать </w:t>
            </w:r>
            <w:r>
              <w:rPr>
                <w:rFonts w:ascii="Arial" w:hAnsi="Arial" w:cs="Arial"/>
                <w:sz w:val="16"/>
                <w:szCs w:val="16"/>
              </w:rPr>
              <w:t>актив и урегулировать обязательство</w:t>
            </w:r>
          </w:p>
        </w:tc>
      </w:tr>
      <w:tr w:rsidR="00BF0614" w:rsidRPr="005D0706" w14:paraId="0852739A" w14:textId="77777777" w:rsidTr="004D3278">
        <w:trPr>
          <w:gridAfter w:val="6"/>
          <w:wAfter w:w="22506" w:type="dxa"/>
          <w:trHeight w:val="300"/>
        </w:trPr>
        <w:tc>
          <w:tcPr>
            <w:tcW w:w="125" w:type="dxa"/>
            <w:tcMar>
              <w:top w:w="0" w:type="dxa"/>
              <w:left w:w="105" w:type="dxa"/>
              <w:bottom w:w="0" w:type="dxa"/>
              <w:right w:w="0" w:type="dxa"/>
            </w:tcMar>
            <w:vAlign w:val="center"/>
            <w:hideMark/>
          </w:tcPr>
          <w:p w14:paraId="5E6FBF5A"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00CDBA2"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IV. Порядок признания и последующего учета хеджирования</w:t>
            </w:r>
          </w:p>
        </w:tc>
      </w:tr>
      <w:tr w:rsidR="00BF0614" w:rsidRPr="005D0706" w14:paraId="2C0DAD7F" w14:textId="77777777" w:rsidTr="004D3278">
        <w:trPr>
          <w:gridAfter w:val="6"/>
          <w:wAfter w:w="22506" w:type="dxa"/>
          <w:trHeight w:val="2190"/>
        </w:trPr>
        <w:tc>
          <w:tcPr>
            <w:tcW w:w="125" w:type="dxa"/>
            <w:tcMar>
              <w:top w:w="0" w:type="dxa"/>
              <w:left w:w="105" w:type="dxa"/>
              <w:bottom w:w="0" w:type="dxa"/>
              <w:right w:w="0" w:type="dxa"/>
            </w:tcMar>
            <w:vAlign w:val="center"/>
            <w:hideMark/>
          </w:tcPr>
          <w:p w14:paraId="5E2992B1"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BED7D30"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19</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0E88FD9"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4E369F2"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Хеджирование потоков денежных средств (описание типа хеджирования, характера хеджируемых рисков, финансовых инструментов, признанных инструментами хеджирования)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3645B41" w14:textId="7E395FB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 применимо к Обществу</w:t>
            </w:r>
          </w:p>
        </w:tc>
      </w:tr>
      <w:tr w:rsidR="00BF0614" w:rsidRPr="005D0706" w14:paraId="08D5EC07" w14:textId="77777777" w:rsidTr="004D3278">
        <w:trPr>
          <w:gridAfter w:val="6"/>
          <w:wAfter w:w="22506" w:type="dxa"/>
          <w:trHeight w:val="2190"/>
        </w:trPr>
        <w:tc>
          <w:tcPr>
            <w:tcW w:w="125" w:type="dxa"/>
            <w:tcMar>
              <w:top w:w="0" w:type="dxa"/>
              <w:left w:w="105" w:type="dxa"/>
              <w:bottom w:w="0" w:type="dxa"/>
              <w:right w:w="0" w:type="dxa"/>
            </w:tcMar>
            <w:vAlign w:val="center"/>
            <w:hideMark/>
          </w:tcPr>
          <w:p w14:paraId="23C5B5A8"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2D6C3AC"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20</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41D8EED"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D00F43C"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Хеджирование справедливой стоимости (описание типа хеджирования, характера хеджируемых рисков, финансовых инструментов, признанных инструментами хеджирования)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58A68F57" w14:textId="7A1A63D2"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 применимо к Обществу</w:t>
            </w:r>
          </w:p>
        </w:tc>
      </w:tr>
      <w:tr w:rsidR="00BF0614" w:rsidRPr="005D0706" w14:paraId="7F83C5DC" w14:textId="77777777" w:rsidTr="004D3278">
        <w:trPr>
          <w:gridAfter w:val="6"/>
          <w:wAfter w:w="22506" w:type="dxa"/>
          <w:trHeight w:val="2190"/>
        </w:trPr>
        <w:tc>
          <w:tcPr>
            <w:tcW w:w="125" w:type="dxa"/>
            <w:tcMar>
              <w:top w:w="0" w:type="dxa"/>
              <w:left w:w="105" w:type="dxa"/>
              <w:bottom w:w="0" w:type="dxa"/>
              <w:right w:w="0" w:type="dxa"/>
            </w:tcMar>
            <w:vAlign w:val="center"/>
            <w:hideMark/>
          </w:tcPr>
          <w:p w14:paraId="11CC7FD8"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D5136E4"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FB3B639"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C628A0B"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Хеджирование чистых инвестиций в иностранные подразделения (описание типа хеджирования, характера хеджируемых рисков, финансовых инструментов, признанных инструментами хеджирования)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B567999" w14:textId="617455DD"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 применимо к Обществу</w:t>
            </w:r>
          </w:p>
        </w:tc>
      </w:tr>
      <w:tr w:rsidR="00BF0614" w:rsidRPr="005D0706" w14:paraId="3B87C355" w14:textId="77777777" w:rsidTr="004D3278">
        <w:trPr>
          <w:gridAfter w:val="6"/>
          <w:wAfter w:w="22506" w:type="dxa"/>
          <w:trHeight w:val="300"/>
        </w:trPr>
        <w:tc>
          <w:tcPr>
            <w:tcW w:w="125" w:type="dxa"/>
            <w:tcMar>
              <w:top w:w="0" w:type="dxa"/>
              <w:left w:w="105" w:type="dxa"/>
              <w:bottom w:w="0" w:type="dxa"/>
              <w:right w:w="0" w:type="dxa"/>
            </w:tcMar>
            <w:vAlign w:val="center"/>
            <w:hideMark/>
          </w:tcPr>
          <w:p w14:paraId="7D4A7C9C"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D9B57E5"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V. Критерии признания и база оценки инвестиционного имущества</w:t>
            </w:r>
          </w:p>
        </w:tc>
      </w:tr>
      <w:tr w:rsidR="00BF0614" w:rsidRPr="005D0706" w14:paraId="4038D99E" w14:textId="77777777" w:rsidTr="004D3278">
        <w:trPr>
          <w:gridAfter w:val="6"/>
          <w:wAfter w:w="22506" w:type="dxa"/>
          <w:trHeight w:val="1710"/>
        </w:trPr>
        <w:tc>
          <w:tcPr>
            <w:tcW w:w="125" w:type="dxa"/>
            <w:tcMar>
              <w:top w:w="0" w:type="dxa"/>
              <w:left w:w="105" w:type="dxa"/>
              <w:bottom w:w="0" w:type="dxa"/>
              <w:right w:w="0" w:type="dxa"/>
            </w:tcMar>
            <w:vAlign w:val="center"/>
            <w:hideMark/>
          </w:tcPr>
          <w:p w14:paraId="625D773B"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6B40D18"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22</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4671275"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40</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13BE9F1"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Применяемая модель учета инвестиционного имущества</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228AC1C8" w14:textId="400C8EDA" w:rsidR="00BF0614" w:rsidRPr="005D0706"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 применимо к Обществу</w:t>
            </w:r>
          </w:p>
        </w:tc>
      </w:tr>
      <w:tr w:rsidR="00BF0614" w:rsidRPr="005D0706" w14:paraId="71496EB2" w14:textId="77777777" w:rsidTr="004D3278">
        <w:trPr>
          <w:gridAfter w:val="6"/>
          <w:wAfter w:w="22506" w:type="dxa"/>
          <w:trHeight w:val="2430"/>
        </w:trPr>
        <w:tc>
          <w:tcPr>
            <w:tcW w:w="125" w:type="dxa"/>
            <w:tcMar>
              <w:top w:w="0" w:type="dxa"/>
              <w:left w:w="105" w:type="dxa"/>
              <w:bottom w:w="0" w:type="dxa"/>
              <w:right w:w="0" w:type="dxa"/>
            </w:tcMar>
            <w:vAlign w:val="center"/>
            <w:hideMark/>
          </w:tcPr>
          <w:p w14:paraId="60015292"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DC99284"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23</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906A5E0"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40</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F1646A2"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Критерии, используемые организацией в целях проведения различия между инвестиционным имуществом и объектами собственности, занимаемыми владельцем, а также имуществом, предназначенным для продажи в ходе обычной деятельности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14A0A0E7" w14:textId="59CD71CB" w:rsidR="00BF0614" w:rsidRPr="005D0706"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 применимо к Обществу</w:t>
            </w:r>
          </w:p>
        </w:tc>
      </w:tr>
      <w:tr w:rsidR="00BF0614" w:rsidRPr="005D0706" w14:paraId="0BF0D44A" w14:textId="77777777" w:rsidTr="004D3278">
        <w:trPr>
          <w:gridAfter w:val="6"/>
          <w:wAfter w:w="22506" w:type="dxa"/>
          <w:trHeight w:val="2505"/>
        </w:trPr>
        <w:tc>
          <w:tcPr>
            <w:tcW w:w="125" w:type="dxa"/>
            <w:tcMar>
              <w:top w:w="0" w:type="dxa"/>
              <w:left w:w="105" w:type="dxa"/>
              <w:bottom w:w="0" w:type="dxa"/>
              <w:right w:w="0" w:type="dxa"/>
            </w:tcMar>
            <w:vAlign w:val="center"/>
            <w:hideMark/>
          </w:tcPr>
          <w:p w14:paraId="29288605"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2AA4244"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24</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8BCD304"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40</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EF80FA6"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Степень, в которой справедливая стоимость инвестиционного имущества (измеренная или раскрытая в бухгалтерской (финансовой) отчетности) основана на оценке, произведенной независимым оценщиком, обладающим соответствующей признанной профессиональной квалификацией, а также недавним опытом проведения оценки инвестиций в недвижимость той же категории и того же места нахождения, что и оцениваемый объект</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D7D5348" w14:textId="61FEB2E7" w:rsidR="00BF0614" w:rsidRPr="005D0706"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 применимо к Обществу</w:t>
            </w:r>
          </w:p>
        </w:tc>
      </w:tr>
      <w:tr w:rsidR="00BF0614" w:rsidRPr="005D0706" w14:paraId="0D9C43BA" w14:textId="77777777" w:rsidTr="004D3278">
        <w:trPr>
          <w:gridAfter w:val="6"/>
          <w:wAfter w:w="22506" w:type="dxa"/>
          <w:trHeight w:val="300"/>
        </w:trPr>
        <w:tc>
          <w:tcPr>
            <w:tcW w:w="125" w:type="dxa"/>
            <w:tcMar>
              <w:top w:w="0" w:type="dxa"/>
              <w:left w:w="105" w:type="dxa"/>
              <w:bottom w:w="0" w:type="dxa"/>
              <w:right w:w="0" w:type="dxa"/>
            </w:tcMar>
            <w:vAlign w:val="center"/>
            <w:hideMark/>
          </w:tcPr>
          <w:p w14:paraId="310CDA46"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51E7C88"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VI. Критерии признания, база оценки основных средств</w:t>
            </w:r>
          </w:p>
        </w:tc>
      </w:tr>
      <w:tr w:rsidR="00BF0614" w:rsidRPr="005D0706" w14:paraId="18E4E624" w14:textId="77777777" w:rsidTr="004D3278">
        <w:trPr>
          <w:gridAfter w:val="6"/>
          <w:wAfter w:w="22506" w:type="dxa"/>
          <w:trHeight w:val="1710"/>
        </w:trPr>
        <w:tc>
          <w:tcPr>
            <w:tcW w:w="125" w:type="dxa"/>
            <w:tcMar>
              <w:top w:w="0" w:type="dxa"/>
              <w:left w:w="105" w:type="dxa"/>
              <w:bottom w:w="0" w:type="dxa"/>
              <w:right w:w="0" w:type="dxa"/>
            </w:tcMar>
            <w:vAlign w:val="center"/>
            <w:hideMark/>
          </w:tcPr>
          <w:p w14:paraId="3EDEF3A3"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A358F7B"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25</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3CE1E4D"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16</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56D47CA"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База, используемая для оценки основных средств (для каждого класса активов)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5C67E5BA" w14:textId="5C778D1E"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Объекты основных средств Общества оцениваются по первоначальной стоимости за вычетом амортизации и накопленных убытков от обесценения. Основные средства Общества включают следующие группы (классы) основных средств:</w:t>
            </w:r>
            <w:r w:rsidRPr="00BF0614">
              <w:rPr>
                <w:rFonts w:ascii="Arial" w:hAnsi="Arial" w:cs="Arial"/>
                <w:sz w:val="16"/>
                <w:szCs w:val="16"/>
              </w:rPr>
              <w:br/>
              <w:t>• Земельные участки</w:t>
            </w:r>
            <w:r w:rsidRPr="00BF0614">
              <w:rPr>
                <w:rFonts w:ascii="Arial" w:hAnsi="Arial" w:cs="Arial"/>
                <w:sz w:val="16"/>
                <w:szCs w:val="16"/>
              </w:rPr>
              <w:br/>
              <w:t>• Здания и сооружения;</w:t>
            </w:r>
            <w:r w:rsidRPr="00BF0614">
              <w:rPr>
                <w:rFonts w:ascii="Arial" w:hAnsi="Arial" w:cs="Arial"/>
                <w:sz w:val="16"/>
                <w:szCs w:val="16"/>
              </w:rPr>
              <w:br/>
              <w:t>• Транспортные средства;</w:t>
            </w:r>
            <w:r w:rsidRPr="00BF0614">
              <w:rPr>
                <w:rFonts w:ascii="Arial" w:hAnsi="Arial" w:cs="Arial"/>
                <w:sz w:val="16"/>
                <w:szCs w:val="16"/>
              </w:rPr>
              <w:br/>
              <w:t>• Мебель;</w:t>
            </w:r>
            <w:r w:rsidRPr="00BF0614">
              <w:rPr>
                <w:rFonts w:ascii="Arial" w:hAnsi="Arial" w:cs="Arial"/>
                <w:sz w:val="16"/>
                <w:szCs w:val="16"/>
              </w:rPr>
              <w:br/>
              <w:t>• Офисное оборудование;</w:t>
            </w:r>
            <w:r w:rsidRPr="00BF0614">
              <w:rPr>
                <w:rFonts w:ascii="Arial" w:hAnsi="Arial" w:cs="Arial"/>
                <w:sz w:val="16"/>
                <w:szCs w:val="16"/>
              </w:rPr>
              <w:br/>
              <w:t>• Компьютеры и вычислительная техника;</w:t>
            </w:r>
            <w:r w:rsidRPr="00BF0614">
              <w:rPr>
                <w:rFonts w:ascii="Arial" w:hAnsi="Arial" w:cs="Arial"/>
                <w:sz w:val="16"/>
                <w:szCs w:val="16"/>
              </w:rPr>
              <w:br/>
              <w:t>• Прочий инвентарь.</w:t>
            </w:r>
            <w:r w:rsidRPr="00BF0614">
              <w:rPr>
                <w:rFonts w:ascii="Arial" w:hAnsi="Arial" w:cs="Arial"/>
                <w:sz w:val="16"/>
                <w:szCs w:val="16"/>
              </w:rPr>
              <w:br/>
              <w:t>Минимальная стоимость объекта учета, подлежащего признанию в качестве инвентарного объекта основных средств, составляет 100 000-00 рублей.</w:t>
            </w:r>
          </w:p>
        </w:tc>
      </w:tr>
      <w:tr w:rsidR="00BF0614" w:rsidRPr="005D0706" w14:paraId="259173C6" w14:textId="77777777" w:rsidTr="004D3278">
        <w:trPr>
          <w:gridAfter w:val="6"/>
          <w:wAfter w:w="22506" w:type="dxa"/>
          <w:trHeight w:val="1710"/>
        </w:trPr>
        <w:tc>
          <w:tcPr>
            <w:tcW w:w="125" w:type="dxa"/>
            <w:tcMar>
              <w:top w:w="0" w:type="dxa"/>
              <w:left w:w="105" w:type="dxa"/>
              <w:bottom w:w="0" w:type="dxa"/>
              <w:right w:w="0" w:type="dxa"/>
            </w:tcMar>
            <w:vAlign w:val="center"/>
            <w:hideMark/>
          </w:tcPr>
          <w:p w14:paraId="205DB731"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6498A8C"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26</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E54FC19"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16</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D57F963"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Применяемый метод амортизации (для каждого класса активов)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63072E8B" w14:textId="716D9ED9"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В Обществе применяется линейный способ начисления амортизации по всем группам основных средств.</w:t>
            </w:r>
          </w:p>
        </w:tc>
      </w:tr>
      <w:tr w:rsidR="00BF0614" w:rsidRPr="005D0706" w14:paraId="0879283F" w14:textId="77777777" w:rsidTr="004D3278">
        <w:trPr>
          <w:gridAfter w:val="6"/>
          <w:wAfter w:w="22506" w:type="dxa"/>
          <w:trHeight w:val="1710"/>
        </w:trPr>
        <w:tc>
          <w:tcPr>
            <w:tcW w:w="125" w:type="dxa"/>
            <w:tcMar>
              <w:top w:w="0" w:type="dxa"/>
              <w:left w:w="105" w:type="dxa"/>
              <w:bottom w:w="0" w:type="dxa"/>
              <w:right w:w="0" w:type="dxa"/>
            </w:tcMar>
            <w:vAlign w:val="center"/>
            <w:hideMark/>
          </w:tcPr>
          <w:p w14:paraId="58132E46"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2E307DF"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27</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AB1EB0E"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16</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6932112"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Применяемые сроки полезного использования (для каждого класса активов)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5689717" w14:textId="5282449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Срок полезного использования объектов основных средств определяется на дату ввода их в эксплуатацию (дату готовности к использованию основного средства) на основе Классификации основных средств, утвержденной Постановлением Правительства РФ от 01.01.2002 № 1 (ред. от 07.07.2016) и профессионального суждения о предполагаемом сроке использования объекта основных средств. Срок полезного использования устанавливается в месяцах и пересчитывается в фактические календарные дни. Срок полезного использования начинается с даты, следующей за датой признания объекта </w:t>
            </w:r>
            <w:proofErr w:type="gramStart"/>
            <w:r w:rsidRPr="00BF0614">
              <w:rPr>
                <w:rFonts w:ascii="Arial" w:hAnsi="Arial" w:cs="Arial"/>
                <w:sz w:val="16"/>
                <w:szCs w:val="16"/>
              </w:rPr>
              <w:t>готовым</w:t>
            </w:r>
            <w:proofErr w:type="gramEnd"/>
            <w:r w:rsidRPr="00BF0614">
              <w:rPr>
                <w:rFonts w:ascii="Arial" w:hAnsi="Arial" w:cs="Arial"/>
                <w:sz w:val="16"/>
                <w:szCs w:val="16"/>
              </w:rPr>
              <w:t xml:space="preserve"> к использованию.</w:t>
            </w:r>
          </w:p>
        </w:tc>
      </w:tr>
      <w:tr w:rsidR="00BF0614" w:rsidRPr="005D0706" w14:paraId="7B8C726A" w14:textId="77777777" w:rsidTr="004D3278">
        <w:trPr>
          <w:gridAfter w:val="6"/>
          <w:wAfter w:w="22506" w:type="dxa"/>
          <w:trHeight w:val="300"/>
        </w:trPr>
        <w:tc>
          <w:tcPr>
            <w:tcW w:w="125" w:type="dxa"/>
            <w:tcMar>
              <w:top w:w="0" w:type="dxa"/>
              <w:left w:w="105" w:type="dxa"/>
              <w:bottom w:w="0" w:type="dxa"/>
              <w:right w:w="0" w:type="dxa"/>
            </w:tcMar>
            <w:vAlign w:val="center"/>
            <w:hideMark/>
          </w:tcPr>
          <w:p w14:paraId="2B09B907"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F0C079A"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VII. Критерии признания, база оценки нематериальных активов</w:t>
            </w:r>
          </w:p>
        </w:tc>
      </w:tr>
      <w:tr w:rsidR="00BF0614" w:rsidRPr="005D0706" w14:paraId="73D82E1D" w14:textId="77777777" w:rsidTr="004D3278">
        <w:trPr>
          <w:gridAfter w:val="6"/>
          <w:wAfter w:w="22506" w:type="dxa"/>
          <w:trHeight w:val="1710"/>
        </w:trPr>
        <w:tc>
          <w:tcPr>
            <w:tcW w:w="125" w:type="dxa"/>
            <w:tcMar>
              <w:top w:w="0" w:type="dxa"/>
              <w:left w:w="105" w:type="dxa"/>
              <w:bottom w:w="0" w:type="dxa"/>
              <w:right w:w="0" w:type="dxa"/>
            </w:tcMar>
            <w:vAlign w:val="center"/>
            <w:hideMark/>
          </w:tcPr>
          <w:p w14:paraId="560E33AF"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9E19F0E"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28</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F9FDE29"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38</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31AB153"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Определение и состав нематериальных активов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02117C3F" w14:textId="3FB41A6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Нематериальным активом (далее - НМА) признается объект, одновременно удовлетворяющий следующим условиям: объект способен приносить экономические выгоды в будущем, в частности, объект предназначен для использования при выполнении работ, оказании услуг либо в административных целях или для управленческих нужд; Общество имеет право на получение экономических выгод от использования объекта в будущем. Право Общества на получение экономических выгод от использования объекта в будущем может быль подтверждено наличием надлежаще оформленных документов, подтверждающих существование самого актива и права Общества на результаты интеллектуальной </w:t>
            </w:r>
            <w:r w:rsidRPr="00BF0614">
              <w:rPr>
                <w:rFonts w:ascii="Arial" w:hAnsi="Arial" w:cs="Arial"/>
                <w:sz w:val="16"/>
                <w:szCs w:val="16"/>
              </w:rPr>
              <w:lastRenderedPageBreak/>
              <w:t xml:space="preserve">деятельности или приравненные к ним средства индивидуализации (далее </w:t>
            </w:r>
            <w:proofErr w:type="gramStart"/>
            <w:r w:rsidRPr="00BF0614">
              <w:rPr>
                <w:rFonts w:ascii="Arial" w:hAnsi="Arial" w:cs="Arial"/>
                <w:sz w:val="16"/>
                <w:szCs w:val="16"/>
              </w:rPr>
              <w:t>-с</w:t>
            </w:r>
            <w:proofErr w:type="gramEnd"/>
            <w:r w:rsidRPr="00BF0614">
              <w:rPr>
                <w:rFonts w:ascii="Arial" w:hAnsi="Arial" w:cs="Arial"/>
                <w:sz w:val="16"/>
                <w:szCs w:val="16"/>
              </w:rPr>
              <w:t>редства индивидуализации); имеются ограничения доступа иных лиц к экономическим выгодам от использования объекта (Общество имеет контроль над объектом); объект может быть идентифицирован (возможность выделения или отделения от других активов); объект предназначен для использования в течение более чем 12 месяцев; объект не имеет    материально-вещественной формы; первоначальная стоимость объекта может быть надежно определена. К нематериальным активам относятся, в том числе следующие активы: программное обеспечение (в том числе, лицензии на использование   программного обеспечения);</w:t>
            </w:r>
            <w:r w:rsidRPr="00BF0614">
              <w:rPr>
                <w:rFonts w:ascii="Arial" w:hAnsi="Arial" w:cs="Arial"/>
                <w:sz w:val="16"/>
                <w:szCs w:val="16"/>
              </w:rPr>
              <w:br/>
              <w:t>лицензии;</w:t>
            </w:r>
            <w:r w:rsidRPr="00BF0614">
              <w:rPr>
                <w:rFonts w:ascii="Arial" w:hAnsi="Arial" w:cs="Arial"/>
                <w:sz w:val="16"/>
                <w:szCs w:val="16"/>
              </w:rPr>
              <w:br/>
              <w:t>патенты;</w:t>
            </w:r>
            <w:r w:rsidRPr="00BF0614">
              <w:rPr>
                <w:rFonts w:ascii="Arial" w:hAnsi="Arial" w:cs="Arial"/>
                <w:sz w:val="16"/>
                <w:szCs w:val="16"/>
              </w:rPr>
              <w:br/>
              <w:t xml:space="preserve">товарные знаки, бренды (за исключением, </w:t>
            </w:r>
            <w:proofErr w:type="gramStart"/>
            <w:r w:rsidRPr="00BF0614">
              <w:rPr>
                <w:rFonts w:ascii="Arial" w:hAnsi="Arial" w:cs="Arial"/>
                <w:sz w:val="16"/>
                <w:szCs w:val="16"/>
              </w:rPr>
              <w:t>созданных</w:t>
            </w:r>
            <w:proofErr w:type="gramEnd"/>
            <w:r w:rsidRPr="00BF0614">
              <w:rPr>
                <w:rFonts w:ascii="Arial" w:hAnsi="Arial" w:cs="Arial"/>
                <w:sz w:val="16"/>
                <w:szCs w:val="16"/>
              </w:rPr>
              <w:t xml:space="preserve"> самим Обществом);</w:t>
            </w:r>
            <w:r w:rsidRPr="00BF0614">
              <w:rPr>
                <w:rFonts w:ascii="Arial" w:hAnsi="Arial" w:cs="Arial"/>
                <w:sz w:val="16"/>
                <w:szCs w:val="16"/>
              </w:rPr>
              <w:br/>
              <w:t>прочие идентифицируемые нематериальные активы.</w:t>
            </w:r>
          </w:p>
        </w:tc>
      </w:tr>
      <w:tr w:rsidR="00BF0614" w:rsidRPr="005D0706" w14:paraId="6CA0EA58" w14:textId="77777777" w:rsidTr="004D3278">
        <w:trPr>
          <w:gridAfter w:val="6"/>
          <w:wAfter w:w="22506" w:type="dxa"/>
          <w:trHeight w:val="2190"/>
        </w:trPr>
        <w:tc>
          <w:tcPr>
            <w:tcW w:w="125" w:type="dxa"/>
            <w:tcMar>
              <w:top w:w="0" w:type="dxa"/>
              <w:left w:w="105" w:type="dxa"/>
              <w:bottom w:w="0" w:type="dxa"/>
              <w:right w:w="0" w:type="dxa"/>
            </w:tcMar>
            <w:vAlign w:val="center"/>
            <w:hideMark/>
          </w:tcPr>
          <w:p w14:paraId="476DF557"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069DD40"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29</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859C780"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7475EE2"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База оценки для каждого класса активов (стоимость приобретения за вычетом амортизации или стоимость переоценки за вычетом амортизации)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580FAE5C" w14:textId="7B663B9B"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Нематериальные активы Общества оцениваются по первоначальной стоимости за вычетом амортизации и накопленных убытков от обесценения.</w:t>
            </w:r>
          </w:p>
        </w:tc>
      </w:tr>
      <w:tr w:rsidR="00BF0614" w:rsidRPr="005D0706" w14:paraId="592D3BD6" w14:textId="77777777" w:rsidTr="004D3278">
        <w:trPr>
          <w:gridAfter w:val="6"/>
          <w:wAfter w:w="22506" w:type="dxa"/>
          <w:trHeight w:val="2190"/>
        </w:trPr>
        <w:tc>
          <w:tcPr>
            <w:tcW w:w="125" w:type="dxa"/>
            <w:tcMar>
              <w:top w:w="0" w:type="dxa"/>
              <w:left w:w="105" w:type="dxa"/>
              <w:bottom w:w="0" w:type="dxa"/>
              <w:right w:w="0" w:type="dxa"/>
            </w:tcMar>
            <w:vAlign w:val="center"/>
            <w:hideMark/>
          </w:tcPr>
          <w:p w14:paraId="744B1386"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F38E8B2"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30</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543FFF5"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38</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CBF2741"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Раскрытие для каждого класса активов с неопределенным сроком полезного использования факта ежегодного тестирования на обесценение, информации о наличии возможных признаков обесценения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2C51CCDE" w14:textId="1C09A71E"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По нематериальным активам с неопределенным сроком полезного использования амортизация не начисляется. Проверка на обесценение таких активов включает в себя выявление следующих признаков возможного обесценения: существуют признаки устаревания; простои актива (неиспользования); планы по прекращению или реструктуризации деятельности, к которой используется актив. При наличии признаков возможного обесценения актива Общество определяет возмещаемую стоимость НМА как справедливую стоимость за вычетом затрат на выбытие или ценность использования в зависимости от того, которая из данных величин больше. В случае если возмещаемая стоимость НМА меньше балансовой стоимости этого НМА, балансовая стоимость НМА уменьшается до его возмещаемой стоимости. Такое уменьшение является убытком от обесценения.</w:t>
            </w:r>
          </w:p>
        </w:tc>
      </w:tr>
      <w:tr w:rsidR="00BF0614" w:rsidRPr="005D0706" w14:paraId="4729D13C" w14:textId="77777777" w:rsidTr="004D3278">
        <w:trPr>
          <w:gridAfter w:val="6"/>
          <w:wAfter w:w="22506" w:type="dxa"/>
          <w:trHeight w:val="2190"/>
        </w:trPr>
        <w:tc>
          <w:tcPr>
            <w:tcW w:w="125" w:type="dxa"/>
            <w:tcMar>
              <w:top w:w="0" w:type="dxa"/>
              <w:left w:w="105" w:type="dxa"/>
              <w:bottom w:w="0" w:type="dxa"/>
              <w:right w:w="0" w:type="dxa"/>
            </w:tcMar>
            <w:vAlign w:val="center"/>
            <w:hideMark/>
          </w:tcPr>
          <w:p w14:paraId="375D5CC1"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3BC340E"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625ABB1"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38</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E387E64"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Применяемые сроки и методы амортизации для нематериальных активов с ограниченным сроком использования</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8559B0B" w14:textId="395CDC7A" w:rsidR="00BF0614" w:rsidRPr="00BF0614" w:rsidRDefault="00BF0614" w:rsidP="005D0706">
            <w:pPr>
              <w:spacing w:after="0" w:line="240" w:lineRule="auto"/>
              <w:rPr>
                <w:rFonts w:ascii="Arial" w:eastAsia="Times New Roman" w:hAnsi="Arial" w:cs="Arial"/>
                <w:sz w:val="16"/>
                <w:szCs w:val="16"/>
                <w:lang w:eastAsia="ru-RU"/>
              </w:rPr>
            </w:pPr>
            <w:r w:rsidRPr="00BF0614">
              <w:rPr>
                <w:rFonts w:ascii="Arial" w:hAnsi="Arial" w:cs="Arial"/>
                <w:sz w:val="16"/>
                <w:szCs w:val="16"/>
              </w:rPr>
              <w:t xml:space="preserve">В Обществе применяется линейный способ начисления амортизации по всем нематериальным активам с ограниченным сроком использования. </w:t>
            </w:r>
            <w:proofErr w:type="gramStart"/>
            <w:r w:rsidRPr="00BF0614">
              <w:rPr>
                <w:rFonts w:ascii="Arial" w:hAnsi="Arial" w:cs="Arial"/>
                <w:sz w:val="16"/>
                <w:szCs w:val="16"/>
              </w:rPr>
              <w:t xml:space="preserve">Срок полезного использования нематериальных активов определяется Обществом в месяцах на дату признания нематериального актива (передачи нематериального актива для использования в соответствии с намерениями руководства </w:t>
            </w:r>
            <w:proofErr w:type="spellStart"/>
            <w:r w:rsidRPr="00BF0614">
              <w:rPr>
                <w:rFonts w:ascii="Arial" w:hAnsi="Arial" w:cs="Arial"/>
                <w:sz w:val="16"/>
                <w:szCs w:val="16"/>
              </w:rPr>
              <w:t>некредитной</w:t>
            </w:r>
            <w:proofErr w:type="spellEnd"/>
            <w:r w:rsidRPr="00BF0614">
              <w:rPr>
                <w:rFonts w:ascii="Arial" w:hAnsi="Arial" w:cs="Arial"/>
                <w:sz w:val="16"/>
                <w:szCs w:val="16"/>
              </w:rPr>
              <w:t xml:space="preserve"> финансовой организации) исходя из: срока действия прав Общество на результат интеллектуальной деятельности или средство индивидуализации и периода контроля над нематериальным активом; ожидаемого срока использования нематериального актива, в течение которого Общество предполагает получать экономические выгоды.</w:t>
            </w:r>
            <w:proofErr w:type="gramEnd"/>
          </w:p>
        </w:tc>
      </w:tr>
      <w:tr w:rsidR="00BF0614" w:rsidRPr="005D0706" w14:paraId="76BC2015" w14:textId="77777777" w:rsidTr="004D3278">
        <w:trPr>
          <w:gridAfter w:val="6"/>
          <w:wAfter w:w="22506" w:type="dxa"/>
          <w:trHeight w:val="1710"/>
        </w:trPr>
        <w:tc>
          <w:tcPr>
            <w:tcW w:w="125" w:type="dxa"/>
            <w:tcMar>
              <w:top w:w="0" w:type="dxa"/>
              <w:left w:w="105" w:type="dxa"/>
              <w:bottom w:w="0" w:type="dxa"/>
              <w:right w:w="0" w:type="dxa"/>
            </w:tcMar>
            <w:vAlign w:val="center"/>
            <w:hideMark/>
          </w:tcPr>
          <w:p w14:paraId="2A4CB547"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BD32D66" w14:textId="77777777" w:rsidR="00BF0614" w:rsidRPr="005D0706" w:rsidRDefault="00BF0614"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32</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F817C45"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38</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5893138" w14:textId="77777777" w:rsidR="00BF0614" w:rsidRPr="005D0706" w:rsidRDefault="00BF0614"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учета затрат на создание нематериальных активов собственными силами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6B31F620" w14:textId="42214181" w:rsidR="00BF0614" w:rsidRPr="005D0706" w:rsidRDefault="00BF0614" w:rsidP="005D0706">
            <w:pPr>
              <w:spacing w:after="0" w:line="240" w:lineRule="auto"/>
              <w:rPr>
                <w:rFonts w:ascii="Arial" w:eastAsia="Times New Roman" w:hAnsi="Arial" w:cs="Arial"/>
                <w:sz w:val="16"/>
                <w:szCs w:val="16"/>
                <w:lang w:eastAsia="ru-RU"/>
              </w:rPr>
            </w:pPr>
            <w:r w:rsidRPr="00BF0614">
              <w:rPr>
                <w:rFonts w:ascii="Arial" w:eastAsia="Times New Roman" w:hAnsi="Arial" w:cs="Arial"/>
                <w:sz w:val="16"/>
                <w:szCs w:val="16"/>
                <w:lang w:eastAsia="ru-RU"/>
              </w:rPr>
              <w:t>Затраты, произведенные Обществом на стадии исследований при создании нематериального актива, не подлежат признанию в составе первоначальной стоимости нематериального актива, а признаются в качестве расходов на дату их возникновения. Затраты Общества на стадии разработки нематериального актива подлежат признанию в составе первоначальной стоимости нематериального актива при следующих условиях; Общество намерено завершить создание нематериального актива и использовать его в своей деятельности; нематериальный актив будет создавать будущие экономические выгоды; Общество располагает ресурсами (техническими, финансовыми, прочими) для завершения разработки и использования нематериального актива; Общество может продемонстрировать техническую осуществимость завершения создания нематериального актива; Общество способно надежно оценить затраты, относящиеся к нематериальному активу в процессе его разработки</w:t>
            </w:r>
            <w:r w:rsidRPr="00BF0614">
              <w:rPr>
                <w:rFonts w:ascii="Calibri" w:eastAsia="Times New Roman" w:hAnsi="Calibri" w:cs="Times New Roman"/>
                <w:szCs w:val="16"/>
                <w:lang w:eastAsia="ru-RU"/>
              </w:rPr>
              <w:t>.</w:t>
            </w:r>
          </w:p>
        </w:tc>
      </w:tr>
      <w:tr w:rsidR="00BF0614" w:rsidRPr="005D0706" w14:paraId="53CC3C24" w14:textId="77777777" w:rsidTr="004D3278">
        <w:trPr>
          <w:gridAfter w:val="6"/>
          <w:wAfter w:w="22506" w:type="dxa"/>
          <w:trHeight w:val="300"/>
        </w:trPr>
        <w:tc>
          <w:tcPr>
            <w:tcW w:w="125" w:type="dxa"/>
            <w:tcMar>
              <w:top w:w="0" w:type="dxa"/>
              <w:left w:w="105" w:type="dxa"/>
              <w:bottom w:w="0" w:type="dxa"/>
              <w:right w:w="0" w:type="dxa"/>
            </w:tcMar>
            <w:vAlign w:val="center"/>
            <w:hideMark/>
          </w:tcPr>
          <w:p w14:paraId="2A27CC94" w14:textId="77777777" w:rsidR="00BF0614" w:rsidRPr="005D0706" w:rsidRDefault="00BF0614"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3E0027C" w14:textId="77777777" w:rsidR="00BF0614" w:rsidRPr="005D0706" w:rsidRDefault="00BF0614" w:rsidP="005D0706">
            <w:pPr>
              <w:spacing w:after="0" w:line="240" w:lineRule="auto"/>
              <w:jc w:val="center"/>
              <w:rPr>
                <w:rFonts w:ascii="Arial" w:eastAsia="Times New Roman" w:hAnsi="Arial" w:cs="Arial"/>
                <w:b/>
                <w:bCs/>
                <w:sz w:val="18"/>
                <w:szCs w:val="18"/>
                <w:lang w:eastAsia="ru-RU"/>
              </w:rPr>
            </w:pPr>
            <w:r w:rsidRPr="005D0706">
              <w:rPr>
                <w:rFonts w:ascii="Arial" w:eastAsia="Times New Roman" w:hAnsi="Arial" w:cs="Arial"/>
                <w:b/>
                <w:bCs/>
                <w:sz w:val="18"/>
                <w:szCs w:val="18"/>
                <w:lang w:eastAsia="ru-RU"/>
              </w:rPr>
              <w:t>Раздел VIII. Порядок признания и последующего учета вознаграждений работникам и связанных с ними отчислений</w:t>
            </w:r>
          </w:p>
        </w:tc>
      </w:tr>
      <w:tr w:rsidR="004D3278" w:rsidRPr="005D0706" w14:paraId="6FE74547" w14:textId="77777777" w:rsidTr="004D3278">
        <w:trPr>
          <w:gridAfter w:val="6"/>
          <w:wAfter w:w="22506" w:type="dxa"/>
          <w:trHeight w:val="2430"/>
        </w:trPr>
        <w:tc>
          <w:tcPr>
            <w:tcW w:w="125" w:type="dxa"/>
            <w:tcMar>
              <w:top w:w="0" w:type="dxa"/>
              <w:left w:w="105" w:type="dxa"/>
              <w:bottom w:w="0" w:type="dxa"/>
              <w:right w:w="0" w:type="dxa"/>
            </w:tcMar>
            <w:vAlign w:val="center"/>
            <w:hideMark/>
          </w:tcPr>
          <w:p w14:paraId="5D2C1CE6" w14:textId="77777777" w:rsidR="004D3278" w:rsidRPr="005D0706" w:rsidRDefault="004D3278"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05D8C02"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33</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FD0E426"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(IAS) 19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BCD3ADB"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расходов, связанных с начислением заработной платы, включая компенсационные и стимулирующие выплаты, выплат по отпускам, пособий по временной нетрудоспособности и уходу за ребенком, вознаграждений по итогам года, выходных пособий</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B57BC7F" w14:textId="3908ECD6"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 xml:space="preserve">Вознаграждения работникам включают следующие виды: краткосрочные вознаграждения работникам; долгосрочные вознаграждения работникам по окончании трудовой деятельности; прочие долгосрочные вознаграждения работникам; выходные пособия. Краткосрочные вознаграждения при признании обязательств по выплате краткосрочных вознаграждений работникам Общества одновременно признаются обязательства по оплате страховых взносов, которые возникают (возникнут) при фактическом исполнении обязательств по выплате вознаграждений работникам в соответствии с законодательством Российской Федерации. По длящимся расходам, таким как оплата добровольного медицинского </w:t>
            </w:r>
            <w:proofErr w:type="gramStart"/>
            <w:r w:rsidRPr="004D3278">
              <w:rPr>
                <w:rFonts w:ascii="Arial" w:hAnsi="Arial" w:cs="Arial"/>
                <w:sz w:val="16"/>
                <w:szCs w:val="16"/>
              </w:rPr>
              <w:t>страхования</w:t>
            </w:r>
            <w:proofErr w:type="gramEnd"/>
            <w:r w:rsidRPr="004D3278">
              <w:rPr>
                <w:rFonts w:ascii="Arial" w:hAnsi="Arial" w:cs="Arial"/>
                <w:sz w:val="16"/>
                <w:szCs w:val="16"/>
              </w:rPr>
              <w:t xml:space="preserve"> расходы начисляются ежемесячно в сумме оплаченной страховой премии, приходящейся на этот месяц (сумма расчетная) на каждого работника.  Начисление обязательств по оплате ежегодного оплачиваемого отпуска, в том числе обязательств по оплате взносов на социальное страхование, производится ежемесячно на последний календарный день месяца.   Обязательства по выплате вознаграждений работникам по окончании трудовой деятельности в виде единовременного пособия </w:t>
            </w:r>
            <w:proofErr w:type="gramStart"/>
            <w:r w:rsidRPr="004D3278">
              <w:rPr>
                <w:rFonts w:ascii="Arial" w:hAnsi="Arial" w:cs="Arial"/>
                <w:sz w:val="16"/>
                <w:szCs w:val="16"/>
              </w:rPr>
              <w:t>работникам, уволившимся по собственному желанию при выходе на пенсию признаются</w:t>
            </w:r>
            <w:proofErr w:type="gramEnd"/>
            <w:r w:rsidRPr="004D3278">
              <w:rPr>
                <w:rFonts w:ascii="Arial" w:hAnsi="Arial" w:cs="Arial"/>
                <w:sz w:val="16"/>
                <w:szCs w:val="16"/>
              </w:rPr>
              <w:t xml:space="preserve"> в сумме единовременного вознаграждения, подлежащего выплате работнику.</w:t>
            </w:r>
          </w:p>
        </w:tc>
      </w:tr>
      <w:tr w:rsidR="004D3278" w:rsidRPr="005D0706" w14:paraId="274672E1" w14:textId="77777777" w:rsidTr="004D3278">
        <w:trPr>
          <w:gridAfter w:val="6"/>
          <w:wAfter w:w="22506" w:type="dxa"/>
          <w:trHeight w:val="2190"/>
        </w:trPr>
        <w:tc>
          <w:tcPr>
            <w:tcW w:w="125" w:type="dxa"/>
            <w:tcMar>
              <w:top w:w="0" w:type="dxa"/>
              <w:left w:w="105" w:type="dxa"/>
              <w:bottom w:w="0" w:type="dxa"/>
              <w:right w:w="0" w:type="dxa"/>
            </w:tcMar>
            <w:vAlign w:val="center"/>
            <w:hideMark/>
          </w:tcPr>
          <w:p w14:paraId="1659996D"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65F9BFB"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34</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CEF9433"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E151BDB"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 xml:space="preserve">Описание пенсионных планов с установленными выплатами, реализуемых </w:t>
            </w:r>
            <w:proofErr w:type="spellStart"/>
            <w:r w:rsidRPr="005D0706">
              <w:rPr>
                <w:rFonts w:ascii="Arial" w:eastAsia="Times New Roman" w:hAnsi="Arial" w:cs="Arial"/>
                <w:sz w:val="18"/>
                <w:szCs w:val="18"/>
                <w:lang w:eastAsia="ru-RU"/>
              </w:rPr>
              <w:t>некредитной</w:t>
            </w:r>
            <w:proofErr w:type="spellEnd"/>
            <w:r w:rsidRPr="005D0706">
              <w:rPr>
                <w:rFonts w:ascii="Arial" w:eastAsia="Times New Roman" w:hAnsi="Arial" w:cs="Arial"/>
                <w:sz w:val="18"/>
                <w:szCs w:val="18"/>
                <w:lang w:eastAsia="ru-RU"/>
              </w:rPr>
              <w:t xml:space="preserve"> финансовой организацией</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ADA644A" w14:textId="267290E1"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Обществом не применяются пенсионные планы с установленными выплатами</w:t>
            </w:r>
          </w:p>
        </w:tc>
      </w:tr>
      <w:tr w:rsidR="004D3278" w:rsidRPr="005D0706" w14:paraId="2BF7B05E" w14:textId="77777777" w:rsidTr="004D3278">
        <w:trPr>
          <w:gridAfter w:val="6"/>
          <w:wAfter w:w="22506" w:type="dxa"/>
          <w:trHeight w:val="2190"/>
        </w:trPr>
        <w:tc>
          <w:tcPr>
            <w:tcW w:w="125" w:type="dxa"/>
            <w:tcMar>
              <w:top w:w="0" w:type="dxa"/>
              <w:left w:w="105" w:type="dxa"/>
              <w:bottom w:w="0" w:type="dxa"/>
              <w:right w:w="0" w:type="dxa"/>
            </w:tcMar>
            <w:vAlign w:val="center"/>
            <w:hideMark/>
          </w:tcPr>
          <w:p w14:paraId="54B1EF4A"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935C3A6"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35</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E9F8202"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84B643D"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Использование метода дисконтированной стоимости для определения размера обязательства по пенсионному обеспечению и соответствующей стоимости вклада работников в отношении текущего периода</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F514603" w14:textId="142CD7FD"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Не применимо</w:t>
            </w:r>
          </w:p>
        </w:tc>
      </w:tr>
      <w:tr w:rsidR="004D3278" w:rsidRPr="005D0706" w14:paraId="3A1DD3B6" w14:textId="77777777" w:rsidTr="004D3278">
        <w:trPr>
          <w:gridAfter w:val="6"/>
          <w:wAfter w:w="22506" w:type="dxa"/>
          <w:trHeight w:val="2190"/>
        </w:trPr>
        <w:tc>
          <w:tcPr>
            <w:tcW w:w="125" w:type="dxa"/>
            <w:tcMar>
              <w:top w:w="0" w:type="dxa"/>
              <w:left w:w="105" w:type="dxa"/>
              <w:bottom w:w="0" w:type="dxa"/>
              <w:right w:w="0" w:type="dxa"/>
            </w:tcMar>
            <w:vAlign w:val="center"/>
            <w:hideMark/>
          </w:tcPr>
          <w:p w14:paraId="5835C05E"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121B529"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36</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52FA5A9"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FF30DFA"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отражения в отчетности вознаграждений работникам по окончании трудовой деятельности, не ограниченных фиксируемыми платежами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1A6BF189" w14:textId="1766CCFE"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Не применимо</w:t>
            </w:r>
          </w:p>
        </w:tc>
      </w:tr>
      <w:tr w:rsidR="004D3278" w:rsidRPr="005D0706" w14:paraId="35BC4BDB" w14:textId="5DD2FC12" w:rsidTr="004D3278">
        <w:trPr>
          <w:trHeight w:val="300"/>
        </w:trPr>
        <w:tc>
          <w:tcPr>
            <w:tcW w:w="125" w:type="dxa"/>
            <w:tcMar>
              <w:top w:w="0" w:type="dxa"/>
              <w:left w:w="105" w:type="dxa"/>
              <w:bottom w:w="0" w:type="dxa"/>
              <w:right w:w="0" w:type="dxa"/>
            </w:tcMar>
            <w:vAlign w:val="center"/>
            <w:hideMark/>
          </w:tcPr>
          <w:p w14:paraId="254FB6C6"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9049" w:type="dxa"/>
            <w:gridSpan w:val="4"/>
            <w:tcBorders>
              <w:top w:val="single" w:sz="6" w:space="0" w:color="000000"/>
              <w:left w:val="single" w:sz="6" w:space="0" w:color="000000"/>
              <w:bottom w:val="single" w:sz="6" w:space="0" w:color="000000"/>
              <w:right w:val="single" w:sz="6" w:space="0" w:color="000000"/>
            </w:tcBorders>
            <w:tcMar>
              <w:top w:w="0" w:type="dxa"/>
              <w:left w:w="105" w:type="dxa"/>
              <w:bottom w:w="0" w:type="dxa"/>
              <w:right w:w="0" w:type="dxa"/>
            </w:tcMar>
            <w:vAlign w:val="center"/>
            <w:hideMark/>
          </w:tcPr>
          <w:p w14:paraId="7E23929B" w14:textId="77777777" w:rsidR="004D3278" w:rsidRPr="004D3278" w:rsidRDefault="004D3278" w:rsidP="005D0706">
            <w:pPr>
              <w:spacing w:after="0" w:line="240" w:lineRule="auto"/>
              <w:jc w:val="center"/>
              <w:rPr>
                <w:rFonts w:ascii="Arial" w:eastAsia="Times New Roman" w:hAnsi="Arial" w:cs="Arial"/>
                <w:b/>
                <w:bCs/>
                <w:sz w:val="16"/>
                <w:szCs w:val="16"/>
                <w:lang w:eastAsia="ru-RU"/>
              </w:rPr>
            </w:pPr>
            <w:r w:rsidRPr="004D3278">
              <w:rPr>
                <w:rFonts w:ascii="Arial" w:eastAsia="Times New Roman" w:hAnsi="Arial" w:cs="Arial"/>
                <w:b/>
                <w:bCs/>
                <w:sz w:val="16"/>
                <w:szCs w:val="16"/>
                <w:lang w:eastAsia="ru-RU"/>
              </w:rPr>
              <w:t>Раздел IX. Критерии признания, база оценки и порядок учета других активов и обязательств</w:t>
            </w:r>
          </w:p>
        </w:tc>
        <w:tc>
          <w:tcPr>
            <w:tcW w:w="7502" w:type="dxa"/>
            <w:gridSpan w:val="2"/>
          </w:tcPr>
          <w:p w14:paraId="021D298A" w14:textId="77777777" w:rsidR="004D3278" w:rsidRPr="005D0706" w:rsidRDefault="004D3278"/>
        </w:tc>
        <w:tc>
          <w:tcPr>
            <w:tcW w:w="7502" w:type="dxa"/>
            <w:gridSpan w:val="2"/>
          </w:tcPr>
          <w:p w14:paraId="33CF554C" w14:textId="77777777" w:rsidR="004D3278" w:rsidRPr="005D0706" w:rsidRDefault="004D3278"/>
        </w:tc>
        <w:tc>
          <w:tcPr>
            <w:tcW w:w="7502" w:type="dxa"/>
            <w:gridSpan w:val="2"/>
            <w:vAlign w:val="center"/>
          </w:tcPr>
          <w:p w14:paraId="34080700" w14:textId="330152EF" w:rsidR="004D3278" w:rsidRPr="005D0706" w:rsidRDefault="004D3278">
            <w:r>
              <w:rPr>
                <w:b/>
                <w:sz w:val="18"/>
                <w:szCs w:val="18"/>
              </w:rPr>
              <w:t>Раздел IX. Критерии признания, база оценки и порядок учета других активов и обязательств</w:t>
            </w:r>
          </w:p>
        </w:tc>
      </w:tr>
      <w:tr w:rsidR="004D3278" w:rsidRPr="005D0706" w14:paraId="4546FB15" w14:textId="77777777" w:rsidTr="004D3278">
        <w:trPr>
          <w:gridAfter w:val="6"/>
          <w:wAfter w:w="22506" w:type="dxa"/>
          <w:trHeight w:val="2190"/>
        </w:trPr>
        <w:tc>
          <w:tcPr>
            <w:tcW w:w="125" w:type="dxa"/>
            <w:tcMar>
              <w:top w:w="0" w:type="dxa"/>
              <w:left w:w="105" w:type="dxa"/>
              <w:bottom w:w="0" w:type="dxa"/>
              <w:right w:w="0" w:type="dxa"/>
            </w:tcMar>
            <w:vAlign w:val="center"/>
            <w:hideMark/>
          </w:tcPr>
          <w:p w14:paraId="13B6DAAA" w14:textId="77777777" w:rsidR="004D3278" w:rsidRPr="005D0706" w:rsidRDefault="004D3278" w:rsidP="005D0706">
            <w:pPr>
              <w:spacing w:after="0" w:line="240" w:lineRule="auto"/>
              <w:jc w:val="center"/>
              <w:rPr>
                <w:rFonts w:ascii="Arial" w:eastAsia="Times New Roman" w:hAnsi="Arial" w:cs="Arial"/>
                <w:b/>
                <w:bCs/>
                <w:sz w:val="18"/>
                <w:szCs w:val="18"/>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8EF77E2"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37</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5D707EC"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(IFRS) 5</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557B502"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долгосрочных активов, предназначенных для продажи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0C80A7B" w14:textId="54D75CAF"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Порядок признания и последующего учета долгосрочных активов, предназначенных для продажи, осуществляется в соответствии с МСФО (IFRS) 5, ОСБУ 492-П и Учетной политикой Общества.</w:t>
            </w:r>
          </w:p>
        </w:tc>
      </w:tr>
      <w:tr w:rsidR="004D3278" w:rsidRPr="005D0706" w14:paraId="23414F88" w14:textId="77777777" w:rsidTr="004D3278">
        <w:trPr>
          <w:gridAfter w:val="6"/>
          <w:wAfter w:w="22506" w:type="dxa"/>
          <w:trHeight w:val="1710"/>
        </w:trPr>
        <w:tc>
          <w:tcPr>
            <w:tcW w:w="125" w:type="dxa"/>
            <w:tcMar>
              <w:top w:w="0" w:type="dxa"/>
              <w:left w:w="105" w:type="dxa"/>
              <w:bottom w:w="0" w:type="dxa"/>
              <w:right w:w="0" w:type="dxa"/>
            </w:tcMar>
            <w:vAlign w:val="center"/>
          </w:tcPr>
          <w:p w14:paraId="6D6D66D7"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190F3514" w14:textId="34DAC1DB" w:rsidR="004D3278" w:rsidRPr="005D0706" w:rsidRDefault="004D3278" w:rsidP="005D0706">
            <w:pPr>
              <w:spacing w:after="0" w:line="240"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37.1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7773F430" w14:textId="0F054E58"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 xml:space="preserve">МСФО (IAS) 1, МСФО (IAS) </w:t>
            </w:r>
            <w:r>
              <w:rPr>
                <w:rFonts w:ascii="Arial" w:eastAsia="Times New Roman" w:hAnsi="Arial" w:cs="Arial"/>
                <w:sz w:val="18"/>
                <w:szCs w:val="18"/>
                <w:lang w:eastAsia="ru-RU"/>
              </w:rPr>
              <w:t>2</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366BD0EC" w14:textId="3E236775"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запасов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613AAE65" w14:textId="650B98D0"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Не применимо</w:t>
            </w:r>
          </w:p>
        </w:tc>
      </w:tr>
      <w:tr w:rsidR="004D3278" w:rsidRPr="005D0706" w14:paraId="6ED4B177" w14:textId="77777777" w:rsidTr="004D3278">
        <w:trPr>
          <w:gridAfter w:val="6"/>
          <w:wAfter w:w="22506" w:type="dxa"/>
          <w:trHeight w:val="1710"/>
        </w:trPr>
        <w:tc>
          <w:tcPr>
            <w:tcW w:w="125" w:type="dxa"/>
            <w:tcMar>
              <w:top w:w="0" w:type="dxa"/>
              <w:left w:w="105" w:type="dxa"/>
              <w:bottom w:w="0" w:type="dxa"/>
              <w:right w:w="0" w:type="dxa"/>
            </w:tcMar>
            <w:vAlign w:val="center"/>
            <w:hideMark/>
          </w:tcPr>
          <w:p w14:paraId="4F1B2BC5"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06B07EB"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38</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51BBD08"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 МСФО (IAS) 37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42F9CA6"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последующего учета резервов - оценочных обязательств</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01993D63" w14:textId="08F24B58"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Порядок признания и последующего учета резервов - оценочных обязательств осуществляется в соответствии с МСФО (IAS) 37, ОСБУ 508-П и Учетной политикой Общества.</w:t>
            </w:r>
          </w:p>
        </w:tc>
      </w:tr>
      <w:tr w:rsidR="004D3278" w:rsidRPr="005D0706" w14:paraId="56EA39AB" w14:textId="77777777" w:rsidTr="004D3278">
        <w:trPr>
          <w:gridAfter w:val="6"/>
          <w:wAfter w:w="22506" w:type="dxa"/>
          <w:trHeight w:val="1950"/>
        </w:trPr>
        <w:tc>
          <w:tcPr>
            <w:tcW w:w="125" w:type="dxa"/>
            <w:tcMar>
              <w:top w:w="0" w:type="dxa"/>
              <w:left w:w="105" w:type="dxa"/>
              <w:bottom w:w="0" w:type="dxa"/>
              <w:right w:w="0" w:type="dxa"/>
            </w:tcMar>
            <w:vAlign w:val="center"/>
            <w:hideMark/>
          </w:tcPr>
          <w:p w14:paraId="70A90C67"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04DBFA2"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39</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1BD7933"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16</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CDF8114"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последующего учета, прекращения признания обязательств по аренде</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6567B727" w14:textId="52411209"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Порядок признания, последующего учета, прекращения признания обязательств по финансовой аренде осуществляется в соответствии с МСФО (IFRS) 16, ОСБУ 635-П и Учетной политикой Общества.</w:t>
            </w:r>
          </w:p>
        </w:tc>
      </w:tr>
      <w:tr w:rsidR="004D3278" w:rsidRPr="005D0706" w14:paraId="2E988807" w14:textId="77777777" w:rsidTr="004D3278">
        <w:trPr>
          <w:gridAfter w:val="6"/>
          <w:wAfter w:w="22506" w:type="dxa"/>
          <w:trHeight w:val="2190"/>
        </w:trPr>
        <w:tc>
          <w:tcPr>
            <w:tcW w:w="125" w:type="dxa"/>
            <w:tcMar>
              <w:top w:w="0" w:type="dxa"/>
              <w:left w:w="105" w:type="dxa"/>
              <w:bottom w:w="0" w:type="dxa"/>
              <w:right w:w="0" w:type="dxa"/>
            </w:tcMar>
            <w:vAlign w:val="center"/>
            <w:hideMark/>
          </w:tcPr>
          <w:p w14:paraId="72B3418A"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1E644F7"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39.1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9F09F0E"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16</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F12C86E"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Использование освобождения, предусмотренного для договоров краткосрочной аренды и освобождения, предусмотренного для аренды объектов с низкой стоимостью</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0EA016D4" w14:textId="255DBD69"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Не применимо</w:t>
            </w:r>
          </w:p>
        </w:tc>
      </w:tr>
      <w:tr w:rsidR="004D3278" w:rsidRPr="005D0706" w14:paraId="116D7EA4" w14:textId="77777777" w:rsidTr="004D3278">
        <w:trPr>
          <w:gridAfter w:val="6"/>
          <w:wAfter w:w="22506" w:type="dxa"/>
          <w:trHeight w:val="2190"/>
        </w:trPr>
        <w:tc>
          <w:tcPr>
            <w:tcW w:w="125" w:type="dxa"/>
            <w:tcMar>
              <w:top w:w="0" w:type="dxa"/>
              <w:left w:w="105" w:type="dxa"/>
              <w:bottom w:w="0" w:type="dxa"/>
              <w:right w:w="0" w:type="dxa"/>
            </w:tcMar>
            <w:vAlign w:val="center"/>
            <w:hideMark/>
          </w:tcPr>
          <w:p w14:paraId="2CA7332F"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5636638"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40</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1554B81"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(IFRS) 9</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703E99E8"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последующего учета, прекращения признания кредиторской задолженности</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2CA357D6" w14:textId="70DA5921"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Порядок признания, последующего учета, прекращения признания кредиторской задолженности осуществляется в соответствии с МСФО (IAS) 9 и Учетной политикой Общества.</w:t>
            </w:r>
          </w:p>
        </w:tc>
      </w:tr>
      <w:tr w:rsidR="004D3278" w:rsidRPr="005D0706" w14:paraId="0DAFAC6D" w14:textId="77777777" w:rsidTr="004D3278">
        <w:trPr>
          <w:gridAfter w:val="6"/>
          <w:wAfter w:w="22506" w:type="dxa"/>
          <w:trHeight w:val="1710"/>
        </w:trPr>
        <w:tc>
          <w:tcPr>
            <w:tcW w:w="125" w:type="dxa"/>
            <w:tcMar>
              <w:top w:w="0" w:type="dxa"/>
              <w:left w:w="105" w:type="dxa"/>
              <w:bottom w:w="0" w:type="dxa"/>
              <w:right w:w="0" w:type="dxa"/>
            </w:tcMar>
            <w:vAlign w:val="center"/>
            <w:hideMark/>
          </w:tcPr>
          <w:p w14:paraId="30A02183"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A326075"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41</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9AB0F04"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26BF43B"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оценки уставного капитала, эмиссионного дохода</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428544DD" w14:textId="039A2FAB"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 xml:space="preserve">Уставной капитал Общества, отраженный в бухгалтерской (финансовой) отчетности, равен оплаченным долям учредителей Общества, Уставной капитал может быть увеличен за счет имущества, и (или) за счет дополнительных вкладов участников Общества. Добавочный капитал формируется из вносов участников, сумм переоценки финансовых активов, предназначенных для продажи, прироста стоимости имущества </w:t>
            </w:r>
            <w:proofErr w:type="gramStart"/>
            <w:r w:rsidRPr="004D3278">
              <w:rPr>
                <w:rFonts w:ascii="Arial" w:hAnsi="Arial" w:cs="Arial"/>
                <w:sz w:val="16"/>
                <w:szCs w:val="16"/>
              </w:rPr>
              <w:t>при</w:t>
            </w:r>
            <w:proofErr w:type="gramEnd"/>
            <w:r w:rsidRPr="004D3278">
              <w:rPr>
                <w:rFonts w:ascii="Arial" w:hAnsi="Arial" w:cs="Arial"/>
                <w:sz w:val="16"/>
                <w:szCs w:val="16"/>
              </w:rPr>
              <w:t xml:space="preserve"> переоценки.</w:t>
            </w:r>
          </w:p>
        </w:tc>
      </w:tr>
      <w:tr w:rsidR="004D3278" w:rsidRPr="005D0706" w14:paraId="16C7D7FE" w14:textId="77777777" w:rsidTr="004D3278">
        <w:trPr>
          <w:gridAfter w:val="6"/>
          <w:wAfter w:w="22506" w:type="dxa"/>
          <w:trHeight w:val="1710"/>
        </w:trPr>
        <w:tc>
          <w:tcPr>
            <w:tcW w:w="125" w:type="dxa"/>
            <w:tcMar>
              <w:top w:w="0" w:type="dxa"/>
              <w:left w:w="105" w:type="dxa"/>
              <w:bottom w:w="0" w:type="dxa"/>
              <w:right w:w="0" w:type="dxa"/>
            </w:tcMar>
            <w:vAlign w:val="center"/>
            <w:hideMark/>
          </w:tcPr>
          <w:p w14:paraId="277698C8"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0BCFF991"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42</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4A5D909"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32, 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984124D"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оценки собственных выкупленных акций (долей)</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4ABEDA41" w14:textId="4D235D28"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Не применимо</w:t>
            </w:r>
          </w:p>
        </w:tc>
      </w:tr>
      <w:tr w:rsidR="004D3278" w:rsidRPr="005D0706" w14:paraId="1801928B" w14:textId="77777777" w:rsidTr="004D3278">
        <w:trPr>
          <w:gridAfter w:val="6"/>
          <w:wAfter w:w="22506" w:type="dxa"/>
          <w:trHeight w:val="1710"/>
        </w:trPr>
        <w:tc>
          <w:tcPr>
            <w:tcW w:w="125" w:type="dxa"/>
            <w:tcMar>
              <w:top w:w="0" w:type="dxa"/>
              <w:left w:w="105" w:type="dxa"/>
              <w:bottom w:w="0" w:type="dxa"/>
              <w:right w:w="0" w:type="dxa"/>
            </w:tcMar>
            <w:vAlign w:val="center"/>
            <w:hideMark/>
          </w:tcPr>
          <w:p w14:paraId="0BB5DFBA"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B549BBD"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43</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7E79234"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32, МСФО (IFRS) 7</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69E0A7FC"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и оценки резервного капитала</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6A99593E" w14:textId="60B99D8C"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Не применимо</w:t>
            </w:r>
          </w:p>
        </w:tc>
      </w:tr>
      <w:tr w:rsidR="004D3278" w:rsidRPr="005D0706" w14:paraId="6B20A639" w14:textId="77777777" w:rsidTr="004D3278">
        <w:trPr>
          <w:gridAfter w:val="6"/>
          <w:wAfter w:w="22506" w:type="dxa"/>
          <w:trHeight w:val="2190"/>
        </w:trPr>
        <w:tc>
          <w:tcPr>
            <w:tcW w:w="125" w:type="dxa"/>
            <w:tcMar>
              <w:top w:w="0" w:type="dxa"/>
              <w:left w:w="105" w:type="dxa"/>
              <w:bottom w:w="0" w:type="dxa"/>
              <w:right w:w="0" w:type="dxa"/>
            </w:tcMar>
            <w:vAlign w:val="center"/>
            <w:hideMark/>
          </w:tcPr>
          <w:p w14:paraId="0F5F8B02"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5F647B28"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44</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2CD5868C"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12</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6977A9C"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признания, оценки, последующего учета, прекращения признания отложенного налогового актива и отложенного налогового обязательства</w:t>
            </w:r>
          </w:p>
        </w:tc>
        <w:tc>
          <w:tcPr>
            <w:tcW w:w="36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tcPr>
          <w:p w14:paraId="4C476CAA" w14:textId="4BDDF1C7" w:rsidR="004D3278" w:rsidRPr="004D3278" w:rsidRDefault="004D3278" w:rsidP="005D0706">
            <w:pPr>
              <w:spacing w:after="0" w:line="240" w:lineRule="auto"/>
              <w:rPr>
                <w:rFonts w:ascii="Arial" w:eastAsia="Times New Roman" w:hAnsi="Arial" w:cs="Arial"/>
                <w:sz w:val="16"/>
                <w:szCs w:val="16"/>
                <w:lang w:eastAsia="ru-RU"/>
              </w:rPr>
            </w:pPr>
            <w:r w:rsidRPr="004D3278">
              <w:rPr>
                <w:rFonts w:ascii="Arial" w:hAnsi="Arial" w:cs="Arial"/>
                <w:sz w:val="16"/>
                <w:szCs w:val="16"/>
              </w:rPr>
              <w:t>Порядок признания, последующего учета, прекращения признания отложенного налогового актива и отложенного налогового обязательства осуществляется в соответствии с МСФО (IAS) 12, ОСБУ 490-П и Учетной политикой Общества.</w:t>
            </w:r>
          </w:p>
        </w:tc>
      </w:tr>
      <w:tr w:rsidR="004D3278" w:rsidRPr="005D0706" w14:paraId="4FA50CD5" w14:textId="77777777" w:rsidTr="004D3278">
        <w:trPr>
          <w:gridAfter w:val="6"/>
          <w:wAfter w:w="22506" w:type="dxa"/>
          <w:trHeight w:val="1710"/>
        </w:trPr>
        <w:tc>
          <w:tcPr>
            <w:tcW w:w="125" w:type="dxa"/>
            <w:tcMar>
              <w:top w:w="0" w:type="dxa"/>
              <w:left w:w="105" w:type="dxa"/>
              <w:bottom w:w="0" w:type="dxa"/>
              <w:right w:w="0" w:type="dxa"/>
            </w:tcMar>
            <w:vAlign w:val="center"/>
            <w:hideMark/>
          </w:tcPr>
          <w:p w14:paraId="5E95CB32" w14:textId="77777777" w:rsidR="004D3278" w:rsidRPr="005D0706" w:rsidRDefault="004D3278" w:rsidP="005D0706">
            <w:pPr>
              <w:spacing w:after="0" w:line="240" w:lineRule="auto"/>
              <w:rPr>
                <w:rFonts w:ascii="Arial" w:eastAsia="Times New Roman" w:hAnsi="Arial" w:cs="Arial"/>
                <w:sz w:val="16"/>
                <w:szCs w:val="16"/>
                <w:lang w:eastAsia="ru-RU"/>
              </w:rPr>
            </w:pPr>
          </w:p>
        </w:tc>
        <w:tc>
          <w:tcPr>
            <w:tcW w:w="72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33A12BFC" w14:textId="77777777" w:rsidR="004D3278" w:rsidRPr="005D0706" w:rsidRDefault="004D3278" w:rsidP="005D0706">
            <w:pPr>
              <w:spacing w:after="0" w:line="240" w:lineRule="auto"/>
              <w:jc w:val="center"/>
              <w:rPr>
                <w:rFonts w:ascii="Arial" w:eastAsia="Times New Roman" w:hAnsi="Arial" w:cs="Arial"/>
                <w:sz w:val="18"/>
                <w:szCs w:val="18"/>
                <w:lang w:eastAsia="ru-RU"/>
              </w:rPr>
            </w:pPr>
            <w:r w:rsidRPr="005D0706">
              <w:rPr>
                <w:rFonts w:ascii="Arial" w:eastAsia="Times New Roman" w:hAnsi="Arial" w:cs="Arial"/>
                <w:sz w:val="18"/>
                <w:szCs w:val="18"/>
                <w:lang w:eastAsia="ru-RU"/>
              </w:rPr>
              <w:t>45</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49212ED3"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МСФО (IAS) 10, МСФО (IAS) 32</w:t>
            </w:r>
          </w:p>
        </w:tc>
        <w:tc>
          <w:tcPr>
            <w:tcW w:w="323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5" w:type="dxa"/>
              <w:bottom w:w="0" w:type="dxa"/>
              <w:right w:w="0" w:type="dxa"/>
            </w:tcMar>
            <w:vAlign w:val="center"/>
            <w:hideMark/>
          </w:tcPr>
          <w:p w14:paraId="190E2B0C" w14:textId="77777777" w:rsidR="004D3278" w:rsidRPr="005D0706" w:rsidRDefault="004D3278" w:rsidP="005D0706">
            <w:pPr>
              <w:spacing w:after="0" w:line="240" w:lineRule="auto"/>
              <w:rPr>
                <w:rFonts w:ascii="Arial" w:eastAsia="Times New Roman" w:hAnsi="Arial" w:cs="Arial"/>
                <w:sz w:val="18"/>
                <w:szCs w:val="18"/>
                <w:lang w:eastAsia="ru-RU"/>
              </w:rPr>
            </w:pPr>
            <w:r w:rsidRPr="005D0706">
              <w:rPr>
                <w:rFonts w:ascii="Arial" w:eastAsia="Times New Roman" w:hAnsi="Arial" w:cs="Arial"/>
                <w:sz w:val="18"/>
                <w:szCs w:val="18"/>
                <w:lang w:eastAsia="ru-RU"/>
              </w:rPr>
              <w:t>Порядок отражения дивидендов</w:t>
            </w:r>
          </w:p>
        </w:tc>
        <w:tc>
          <w:tcPr>
            <w:tcW w:w="3680" w:type="dxa"/>
            <w:tcBorders>
              <w:top w:val="single" w:sz="6" w:space="0" w:color="000000"/>
              <w:left w:val="single" w:sz="6" w:space="0" w:color="000000"/>
              <w:bottom w:val="single" w:sz="6" w:space="0" w:color="000000"/>
              <w:right w:val="single" w:sz="6" w:space="0" w:color="000000"/>
            </w:tcBorders>
            <w:tcMar>
              <w:top w:w="0" w:type="dxa"/>
              <w:left w:w="105" w:type="dxa"/>
              <w:bottom w:w="0" w:type="dxa"/>
              <w:right w:w="0" w:type="dxa"/>
            </w:tcMar>
          </w:tcPr>
          <w:p w14:paraId="4F962F65" w14:textId="2376A18F" w:rsidR="004D3278" w:rsidRPr="004D3278" w:rsidRDefault="004D3278" w:rsidP="004D3278">
            <w:pPr>
              <w:spacing w:after="0" w:line="240" w:lineRule="auto"/>
              <w:rPr>
                <w:rFonts w:ascii="Arial" w:eastAsia="Times New Roman" w:hAnsi="Arial" w:cs="Arial"/>
                <w:sz w:val="16"/>
                <w:szCs w:val="16"/>
                <w:lang w:eastAsia="ru-RU"/>
              </w:rPr>
            </w:pPr>
            <w:r w:rsidRPr="004D3278">
              <w:rPr>
                <w:rFonts w:ascii="Arial" w:hAnsi="Arial" w:cs="Arial"/>
                <w:sz w:val="16"/>
                <w:szCs w:val="16"/>
              </w:rPr>
              <w:t>Выплата дивидендов в 1 квартале  202</w:t>
            </w:r>
            <w:r>
              <w:rPr>
                <w:rFonts w:ascii="Arial" w:hAnsi="Arial" w:cs="Arial"/>
                <w:sz w:val="16"/>
                <w:szCs w:val="16"/>
              </w:rPr>
              <w:t>1</w:t>
            </w:r>
            <w:bookmarkStart w:id="0" w:name="_GoBack"/>
            <w:bookmarkEnd w:id="0"/>
            <w:r w:rsidRPr="004D3278">
              <w:rPr>
                <w:rFonts w:ascii="Arial" w:hAnsi="Arial" w:cs="Arial"/>
                <w:sz w:val="16"/>
                <w:szCs w:val="16"/>
              </w:rPr>
              <w:t xml:space="preserve"> году Обществом не осуществлялась</w:t>
            </w:r>
          </w:p>
        </w:tc>
      </w:tr>
    </w:tbl>
    <w:p w14:paraId="61A2C064" w14:textId="77777777" w:rsidR="000A661D" w:rsidRDefault="000A661D"/>
    <w:sectPr w:rsidR="000A66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784"/>
    <w:rsid w:val="000A661D"/>
    <w:rsid w:val="00417FB4"/>
    <w:rsid w:val="004D3278"/>
    <w:rsid w:val="005D0706"/>
    <w:rsid w:val="00BB2784"/>
    <w:rsid w:val="00BF06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4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781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3598</Words>
  <Characters>20514</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Infinitum A.S.</Company>
  <LinksUpToDate>false</LinksUpToDate>
  <CharactersWithSpaces>24064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Куржонков Иван Алексеевич</dc:creator>
  <cp:lastModifiedBy>Артемьева Анна Всеволодовна</cp:lastModifiedBy>
  <cp:revision>3</cp:revision>
  <dcterms:created xsi:type="dcterms:W3CDTF">2021-04-27T15:16:00Z</dcterms:created>
  <dcterms:modified xsi:type="dcterms:W3CDTF">2021-04-27T15:32:00Z</dcterms:modified>
</cp:coreProperties>
</file>